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pStyle w:val="74"/>
        <w:jc w:val="center"/>
        <w:rPr>
          <w:rFonts w:hint="eastAsia" w:ascii="宋体" w:hAnsi="宋体" w:eastAsia="宋体" w:cs="宋体"/>
          <w:b/>
          <w:sz w:val="48"/>
          <w:szCs w:val="48"/>
          <w:lang w:eastAsia="zh-CN"/>
        </w:rPr>
      </w:pPr>
      <w:r>
        <w:rPr>
          <w:rFonts w:hint="eastAsia" w:ascii="宋体" w:hAnsi="宋体" w:cs="宋体"/>
          <w:b/>
          <w:sz w:val="48"/>
          <w:szCs w:val="48"/>
          <w:lang w:eastAsia="zh-CN"/>
        </w:rPr>
        <w:t>潜山市中医院DSA部分医用耗材采购项目</w:t>
      </w:r>
    </w:p>
    <w:p>
      <w:pPr>
        <w:pStyle w:val="74"/>
        <w:rPr>
          <w:rFonts w:ascii="宋体" w:hAnsi="宋体" w:cs="宋体"/>
          <w:b/>
          <w:sz w:val="48"/>
          <w:szCs w:val="48"/>
        </w:rPr>
      </w:pPr>
    </w:p>
    <w:p>
      <w:pPr>
        <w:pStyle w:val="74"/>
        <w:rPr>
          <w:rFonts w:ascii="宋体" w:hAnsi="宋体" w:cs="宋体"/>
          <w:b/>
          <w:sz w:val="48"/>
          <w:szCs w:val="48"/>
        </w:rPr>
      </w:pPr>
    </w:p>
    <w:p>
      <w:pPr>
        <w:spacing w:line="480" w:lineRule="exact"/>
        <w:rPr>
          <w:rFonts w:ascii="宋体"/>
          <w:sz w:val="44"/>
          <w:szCs w:val="44"/>
        </w:rPr>
      </w:pPr>
    </w:p>
    <w:p>
      <w:pPr>
        <w:pStyle w:val="74"/>
        <w:jc w:val="center"/>
        <w:rPr>
          <w:b/>
          <w:bCs/>
          <w:sz w:val="72"/>
          <w:szCs w:val="72"/>
        </w:rPr>
      </w:pPr>
      <w:r>
        <w:rPr>
          <w:rFonts w:hint="eastAsia" w:ascii="宋体"/>
          <w:b/>
          <w:bCs/>
          <w:sz w:val="72"/>
          <w:szCs w:val="72"/>
        </w:rPr>
        <w:t>磋   商  文  件</w:t>
      </w:r>
    </w:p>
    <w:p>
      <w:pPr>
        <w:spacing w:line="480" w:lineRule="exact"/>
        <w:rPr>
          <w:rFonts w:ascii="仿宋_GB2312" w:hAnsi="宋体" w:eastAsia="仿宋_GB2312"/>
          <w:b/>
          <w:sz w:val="44"/>
          <w:szCs w:val="44"/>
        </w:rPr>
      </w:pPr>
    </w:p>
    <w:p>
      <w:pPr>
        <w:spacing w:line="480" w:lineRule="exact"/>
        <w:rPr>
          <w:rFonts w:ascii="宋体"/>
          <w:sz w:val="144"/>
          <w:szCs w:val="144"/>
        </w:rPr>
      </w:pPr>
    </w:p>
    <w:p>
      <w:pPr>
        <w:spacing w:line="480" w:lineRule="exact"/>
        <w:jc w:val="center"/>
        <w:rPr>
          <w:rFonts w:ascii="宋体" w:hAnsi="宋体" w:cs="宋体"/>
          <w:b/>
          <w:bCs/>
          <w:sz w:val="28"/>
          <w:szCs w:val="28"/>
        </w:rPr>
      </w:pPr>
    </w:p>
    <w:p>
      <w:pPr>
        <w:spacing w:line="480" w:lineRule="exact"/>
        <w:jc w:val="center"/>
        <w:rPr>
          <w:rFonts w:hint="eastAsia" w:ascii="宋体" w:hAnsi="宋体" w:eastAsia="宋体" w:cs="宋体"/>
          <w:b/>
          <w:bCs/>
          <w:sz w:val="28"/>
          <w:szCs w:val="28"/>
          <w:lang w:eastAsia="zh-CN"/>
        </w:rPr>
      </w:pPr>
      <w:r>
        <w:rPr>
          <w:rFonts w:hint="eastAsia" w:ascii="宋体" w:hAnsi="宋体" w:cs="宋体"/>
          <w:b/>
          <w:bCs/>
          <w:sz w:val="28"/>
          <w:szCs w:val="28"/>
        </w:rPr>
        <w:t>项目编号：</w:t>
      </w:r>
      <w:r>
        <w:rPr>
          <w:rFonts w:hint="eastAsia" w:ascii="仿宋" w:hAnsi="仿宋" w:eastAsia="仿宋"/>
          <w:b/>
          <w:sz w:val="24"/>
          <w:lang w:eastAsia="zh-CN"/>
        </w:rPr>
        <w:t>皖TJ-CG24022</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 xml:space="preserve">       </w:t>
      </w:r>
      <w:r>
        <w:rPr>
          <w:rFonts w:hint="eastAsia" w:ascii="宋体" w:hAnsi="宋体" w:cs="仿宋_GB2312"/>
          <w:b/>
          <w:sz w:val="30"/>
          <w:szCs w:val="30"/>
          <w:u w:val="single"/>
          <w:lang w:eastAsia="zh-CN"/>
        </w:rPr>
        <w:t>潜山市中医院</w:t>
      </w:r>
      <w:r>
        <w:rPr>
          <w:rFonts w:hint="eastAsia" w:ascii="仿宋" w:hAnsi="仿宋" w:eastAsia="仿宋"/>
          <w:b/>
          <w:spacing w:val="20"/>
          <w:sz w:val="30"/>
          <w:szCs w:val="30"/>
          <w:u w:val="single"/>
        </w:rPr>
        <w:t xml:space="preserve"> </w:t>
      </w:r>
      <w:r>
        <w:rPr>
          <w:rFonts w:ascii="宋体" w:hAnsi="宋体" w:cs="仿宋_GB2312"/>
          <w:b/>
          <w:spacing w:val="20"/>
          <w:sz w:val="30"/>
          <w:szCs w:val="30"/>
          <w:u w:val="single"/>
        </w:rPr>
        <w:t xml:space="preserve">  </w:t>
      </w:r>
      <w:r>
        <w:rPr>
          <w:rFonts w:hint="eastAsia" w:ascii="宋体" w:hAnsi="宋体" w:cs="仿宋_GB2312"/>
          <w:b/>
          <w:spacing w:val="20"/>
          <w:sz w:val="30"/>
          <w:szCs w:val="30"/>
          <w:u w:val="single"/>
          <w:lang w:val="en-US" w:eastAsia="zh-CN"/>
        </w:rPr>
        <w:t xml:space="preserve">     </w:t>
      </w:r>
      <w:r>
        <w:rPr>
          <w:rFonts w:hint="eastAsia" w:ascii="宋体" w:hAnsi="宋体" w:cs="仿宋_GB2312"/>
          <w:b/>
          <w:sz w:val="30"/>
          <w:szCs w:val="30"/>
          <w:u w:val="single"/>
        </w:rPr>
        <w:t xml:space="preserve"> </w:t>
      </w:r>
      <w:r>
        <w:rPr>
          <w:rFonts w:hint="eastAsia" w:ascii="宋体" w:hAnsi="宋体" w:cs="仿宋_GB2312"/>
          <w:b/>
          <w:sz w:val="30"/>
          <w:szCs w:val="30"/>
          <w:u w:val="single"/>
          <w:lang w:val="en-US" w:eastAsia="zh-CN"/>
        </w:rPr>
        <w:t xml:space="preserve"> </w:t>
      </w:r>
      <w:r>
        <w:rPr>
          <w:rFonts w:hint="eastAsia" w:ascii="宋体" w:hAnsi="宋体" w:cs="仿宋_GB2312"/>
          <w:b/>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采购代理机构：</w:t>
      </w:r>
      <w:r>
        <w:rPr>
          <w:rFonts w:ascii="宋体" w:hAnsi="宋体" w:cs="仿宋_GB2312"/>
          <w:b/>
          <w:sz w:val="30"/>
          <w:szCs w:val="30"/>
          <w:u w:val="single"/>
        </w:rPr>
        <w:t xml:space="preserve">  </w:t>
      </w:r>
      <w:r>
        <w:rPr>
          <w:rFonts w:hint="eastAsia" w:ascii="宋体" w:hAnsi="宋体"/>
          <w:b/>
          <w:spacing w:val="20"/>
          <w:sz w:val="30"/>
          <w:szCs w:val="30"/>
          <w:u w:val="single"/>
        </w:rPr>
        <w:t>安徽泰杰工程咨询有限公司</w:t>
      </w:r>
      <w:r>
        <w:rPr>
          <w:rFonts w:hint="eastAsia" w:ascii="仿宋" w:hAnsi="仿宋" w:eastAsia="仿宋"/>
          <w:b/>
          <w:spacing w:val="20"/>
          <w:sz w:val="30"/>
          <w:szCs w:val="30"/>
          <w:u w:val="single"/>
        </w:rPr>
        <w:t xml:space="preserve">  </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pStyle w:val="74"/>
        <w:ind w:left="0" w:firstLine="0"/>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日期：2024年</w:t>
      </w:r>
      <w:r>
        <w:rPr>
          <w:rFonts w:hint="eastAsia" w:ascii="宋体" w:hAnsi="宋体" w:cs="仿宋_GB2312"/>
          <w:sz w:val="32"/>
          <w:szCs w:val="32"/>
          <w:lang w:val="en-US" w:eastAsia="zh-CN"/>
        </w:rPr>
        <w:t>4</w:t>
      </w:r>
      <w:r>
        <w:rPr>
          <w:rFonts w:hint="eastAsia" w:ascii="宋体" w:hAnsi="宋体" w:cs="仿宋_GB2312"/>
          <w:sz w:val="32"/>
          <w:szCs w:val="32"/>
        </w:rPr>
        <w:t>月</w:t>
      </w:r>
    </w:p>
    <w:p>
      <w:pPr>
        <w:spacing w:line="480" w:lineRule="exact"/>
        <w:rPr>
          <w:rFonts w:ascii="宋体" w:hAnsi="宋体" w:cs="仿宋_GB2312"/>
          <w:sz w:val="32"/>
          <w:szCs w:val="32"/>
        </w:rPr>
      </w:pPr>
    </w:p>
    <w:p>
      <w:pPr>
        <w:widowControl/>
        <w:spacing w:line="480" w:lineRule="auto"/>
        <w:jc w:val="center"/>
        <w:rPr>
          <w:rFonts w:ascii="黑体" w:hAnsi="黑体" w:eastAsia="黑体" w:cs="宋体"/>
          <w:b/>
          <w:kern w:val="0"/>
          <w:sz w:val="32"/>
          <w:szCs w:val="32"/>
        </w:rPr>
      </w:pPr>
    </w:p>
    <w:p>
      <w:pPr>
        <w:pStyle w:val="74"/>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1.组织、领导、实施恶意竞标、围标、串标、虚假应标、挂靠、出让资质等违法活动。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2.以暴力、威胁、利诱等手段强迫他人参与或者退出磋商、拍卖以及强迫他人成交后放弃成交或转包的黑恶势力。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4.在采购活动过程中寻衅滋事、恶意投诉，或以投诉、信访、举报相威胁获取不正当利益的行为。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5.伪造资质证书、证件、提供虚假材料进行磋商，谋取不正当利益的违法行为。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6.采取贿赂、暴力、欺骗、威胁等手段干扰破坏招投标监管、服务人员以及磋商小组正常工作的黑恶势力。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7.采取言语威胁、谈判协商、跟踪盯梢、散播隐私、造谣诽谤、持续骚扰等软暴力手段恐吓监管服务人员、磋商小组及其家属的违法犯罪行为。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8.利诱、欺骗采购人违反相关规定按其意图设置磋商文件条款的违法违规行为。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9.窃取项目响应人报名情况、磋商小组成员等保密信息。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10.领导干部违反规定插手干预项目磋商活动。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11.干部职工在磋商活动中与黑恶势力勾结，充当保护伞。</w:t>
      </w:r>
    </w:p>
    <w:p>
      <w:pPr>
        <w:pStyle w:val="74"/>
        <w:rPr>
          <w:rFonts w:ascii="宋体" w:hAnsi="宋体" w:cs="宋体"/>
          <w:b/>
          <w:kern w:val="0"/>
          <w:sz w:val="24"/>
        </w:rPr>
      </w:pPr>
    </w:p>
    <w:p>
      <w:pPr>
        <w:pStyle w:val="74"/>
        <w:rPr>
          <w:rFonts w:ascii="宋体" w:hAnsi="宋体" w:cs="宋体"/>
          <w:b/>
          <w:kern w:val="0"/>
          <w:sz w:val="24"/>
        </w:r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2、按照磋商文件要求制作磋商响应文件，磋商响应文件创建标识码、文件制作机器码任一项一致的将不予通过初审。</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3、对磋商活动中可能发生的质疑、投诉行为，须依法在规定的时间内提出。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4、本项目磋商期间，供应商必须保证联系电话、电子邮箱通畅，因供应商通讯不畅造成的不利后果由供应商自行承担。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74"/>
        <w:rPr>
          <w:lang w:val="zh-CN"/>
        </w:rPr>
      </w:pPr>
    </w:p>
    <w:p>
      <w:pPr>
        <w:pStyle w:val="40"/>
        <w:tabs>
          <w:tab w:val="right" w:leader="dot" w:pos="9070"/>
        </w:tabs>
        <w:spacing w:line="360" w:lineRule="auto"/>
      </w:pPr>
      <w:bookmarkStart w:id="0" w:name="_Toc21464"/>
      <w:bookmarkStart w:id="1" w:name="_Toc54941328"/>
      <w:bookmarkStart w:id="2" w:name="_Toc23467"/>
      <w:bookmarkStart w:id="3" w:name="_Toc439316870"/>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"_Toc7432" </w:instrText>
      </w:r>
      <w:r>
        <w:fldChar w:fldCharType="separate"/>
      </w:r>
      <w:r>
        <w:rPr>
          <w:rFonts w:hint="eastAsia"/>
          <w:bCs/>
          <w:iCs/>
          <w:szCs w:val="32"/>
        </w:rPr>
        <w:t>第一章</w:t>
      </w:r>
      <w:r>
        <w:rPr>
          <w:bCs/>
          <w:iCs/>
          <w:szCs w:val="32"/>
        </w:rPr>
        <w:t xml:space="preserve">  </w:t>
      </w:r>
      <w:r>
        <w:rPr>
          <w:rFonts w:hint="eastAsia"/>
          <w:bCs/>
          <w:iCs/>
          <w:szCs w:val="32"/>
        </w:rPr>
        <w:t>磋商公告</w:t>
      </w:r>
      <w:r>
        <w:tab/>
      </w:r>
      <w:r>
        <w:fldChar w:fldCharType="begin"/>
      </w:r>
      <w:r>
        <w:instrText xml:space="preserve"> PAGEREF _Toc7432 \h </w:instrText>
      </w:r>
      <w:r>
        <w:fldChar w:fldCharType="separate"/>
      </w:r>
      <w:r>
        <w:t>1</w:t>
      </w:r>
      <w:r>
        <w:fldChar w:fldCharType="end"/>
      </w:r>
      <w:r>
        <w:fldChar w:fldCharType="end"/>
      </w:r>
    </w:p>
    <w:p>
      <w:pPr>
        <w:pStyle w:val="40"/>
        <w:tabs>
          <w:tab w:val="right" w:leader="dot" w:pos="9070"/>
        </w:tabs>
        <w:spacing w:line="360" w:lineRule="auto"/>
      </w:pPr>
      <w:r>
        <w:fldChar w:fldCharType="begin"/>
      </w:r>
      <w:r>
        <w:instrText xml:space="preserve"> HYPERLINK \l "_Toc11266" </w:instrText>
      </w:r>
      <w:r>
        <w:fldChar w:fldCharType="separate"/>
      </w:r>
      <w:r>
        <w:rPr>
          <w:rFonts w:hint="eastAsia" w:ascii="Arial" w:hAnsi="Arial"/>
          <w:szCs w:val="32"/>
        </w:rPr>
        <w:t>第二章</w:t>
      </w:r>
      <w:r>
        <w:rPr>
          <w:rFonts w:ascii="Arial" w:hAnsi="Arial"/>
          <w:szCs w:val="32"/>
        </w:rPr>
        <w:t xml:space="preserve">  </w:t>
      </w:r>
      <w:r>
        <w:rPr>
          <w:rFonts w:hint="eastAsia" w:ascii="Arial" w:hAnsi="Arial"/>
          <w:szCs w:val="32"/>
        </w:rPr>
        <w:t>竞争性磋商须知</w:t>
      </w:r>
      <w:r>
        <w:tab/>
      </w:r>
      <w:r>
        <w:fldChar w:fldCharType="begin"/>
      </w:r>
      <w:r>
        <w:instrText xml:space="preserve"> PAGEREF _Toc11266 \h </w:instrText>
      </w:r>
      <w:r>
        <w:fldChar w:fldCharType="separate"/>
      </w:r>
      <w:r>
        <w:t>4</w:t>
      </w:r>
      <w:r>
        <w:fldChar w:fldCharType="end"/>
      </w:r>
      <w:r>
        <w:fldChar w:fldCharType="end"/>
      </w:r>
    </w:p>
    <w:p>
      <w:pPr>
        <w:pStyle w:val="40"/>
        <w:tabs>
          <w:tab w:val="right" w:leader="dot" w:pos="9070"/>
        </w:tabs>
        <w:spacing w:line="360" w:lineRule="auto"/>
      </w:pPr>
      <w:r>
        <w:fldChar w:fldCharType="begin"/>
      </w:r>
      <w:r>
        <w:instrText xml:space="preserve"> HYPERLINK \l "_Toc12353" </w:instrText>
      </w:r>
      <w:r>
        <w:fldChar w:fldCharType="separate"/>
      </w:r>
      <w:r>
        <w:rPr>
          <w:rFonts w:hint="eastAsia" w:ascii="Arial" w:hAnsi="Arial"/>
          <w:bCs/>
          <w:szCs w:val="32"/>
        </w:rPr>
        <w:t>第三章</w:t>
      </w:r>
      <w:r>
        <w:rPr>
          <w:rFonts w:hint="eastAsia" w:ascii="Arial" w:hAnsi="Arial"/>
          <w:szCs w:val="32"/>
        </w:rPr>
        <w:t xml:space="preserve">  </w:t>
      </w:r>
      <w:r>
        <w:rPr>
          <w:rFonts w:hint="eastAsia" w:ascii="宋体" w:hAnsi="宋体" w:cs="宋体"/>
          <w:szCs w:val="30"/>
        </w:rPr>
        <w:t>采购需求</w:t>
      </w:r>
      <w:r>
        <w:tab/>
      </w:r>
      <w:r>
        <w:fldChar w:fldCharType="begin"/>
      </w:r>
      <w:r>
        <w:instrText xml:space="preserve"> PAGEREF _Toc12353 \h </w:instrText>
      </w:r>
      <w:r>
        <w:fldChar w:fldCharType="separate"/>
      </w:r>
      <w:r>
        <w:t>23</w:t>
      </w:r>
      <w:r>
        <w:fldChar w:fldCharType="end"/>
      </w:r>
      <w:r>
        <w:fldChar w:fldCharType="end"/>
      </w:r>
    </w:p>
    <w:p>
      <w:pPr>
        <w:pStyle w:val="40"/>
        <w:tabs>
          <w:tab w:val="right" w:leader="dot" w:pos="9070"/>
        </w:tabs>
        <w:spacing w:line="360" w:lineRule="auto"/>
      </w:pPr>
      <w:r>
        <w:fldChar w:fldCharType="begin"/>
      </w:r>
      <w:r>
        <w:instrText xml:space="preserve"> HYPERLINK \l "_Toc16371" </w:instrText>
      </w:r>
      <w:r>
        <w:fldChar w:fldCharType="separate"/>
      </w:r>
      <w:r>
        <w:rPr>
          <w:rFonts w:hint="eastAsia" w:ascii="Arial" w:hAnsi="Arial"/>
          <w:szCs w:val="32"/>
        </w:rPr>
        <w:t>第四章  评审方法与标准</w:t>
      </w:r>
      <w:r>
        <w:tab/>
      </w:r>
      <w:r>
        <w:fldChar w:fldCharType="begin"/>
      </w:r>
      <w:r>
        <w:instrText xml:space="preserve"> PAGEREF _Toc16371 \h </w:instrText>
      </w:r>
      <w:r>
        <w:fldChar w:fldCharType="separate"/>
      </w:r>
      <w:r>
        <w:t>29</w:t>
      </w:r>
      <w:r>
        <w:fldChar w:fldCharType="end"/>
      </w:r>
      <w:r>
        <w:fldChar w:fldCharType="end"/>
      </w:r>
    </w:p>
    <w:p>
      <w:pPr>
        <w:pStyle w:val="40"/>
        <w:tabs>
          <w:tab w:val="right" w:leader="dot" w:pos="9070"/>
        </w:tabs>
        <w:spacing w:line="360" w:lineRule="auto"/>
      </w:pPr>
      <w:r>
        <w:fldChar w:fldCharType="begin"/>
      </w:r>
      <w:r>
        <w:instrText xml:space="preserve"> HYPERLINK \l "_Toc27586" </w:instrText>
      </w:r>
      <w:r>
        <w:fldChar w:fldCharType="separate"/>
      </w:r>
      <w:r>
        <w:rPr>
          <w:rFonts w:hint="eastAsia"/>
        </w:rPr>
        <w:t>第五章  政府采购合同主要条款</w:t>
      </w:r>
      <w:r>
        <w:tab/>
      </w:r>
      <w:r>
        <w:fldChar w:fldCharType="begin"/>
      </w:r>
      <w:r>
        <w:instrText xml:space="preserve"> PAGEREF _Toc27586 \h </w:instrText>
      </w:r>
      <w:r>
        <w:fldChar w:fldCharType="separate"/>
      </w:r>
      <w:r>
        <w:t>33</w:t>
      </w:r>
      <w:r>
        <w:fldChar w:fldCharType="end"/>
      </w:r>
      <w:r>
        <w:fldChar w:fldCharType="end"/>
      </w:r>
    </w:p>
    <w:p>
      <w:pPr>
        <w:pStyle w:val="40"/>
        <w:tabs>
          <w:tab w:val="right" w:leader="dot" w:pos="9070"/>
        </w:tabs>
        <w:spacing w:line="360" w:lineRule="auto"/>
      </w:pPr>
      <w:r>
        <w:fldChar w:fldCharType="begin"/>
      </w:r>
      <w:r>
        <w:instrText xml:space="preserve"> HYPERLINK \l "_Toc1812" </w:instrText>
      </w:r>
      <w:r>
        <w:fldChar w:fldCharType="separate"/>
      </w:r>
      <w:r>
        <w:rPr>
          <w:rFonts w:hint="eastAsia" w:ascii="Arial" w:hAnsi="Arial"/>
          <w:szCs w:val="36"/>
          <w:lang w:val="zh-CN"/>
        </w:rPr>
        <w:t>第</w:t>
      </w:r>
      <w:r>
        <w:rPr>
          <w:rFonts w:hint="eastAsia" w:ascii="Arial" w:hAnsi="Arial"/>
          <w:szCs w:val="36"/>
        </w:rPr>
        <w:t>六</w:t>
      </w:r>
      <w:r>
        <w:rPr>
          <w:rFonts w:hint="eastAsia" w:ascii="Arial" w:hAnsi="Arial"/>
          <w:szCs w:val="36"/>
          <w:lang w:val="zh-CN"/>
        </w:rPr>
        <w:t>章</w:t>
      </w:r>
      <w:r>
        <w:rPr>
          <w:rFonts w:ascii="Arial" w:hAnsi="Arial"/>
          <w:szCs w:val="36"/>
          <w:lang w:val="zh-CN"/>
        </w:rPr>
        <w:t xml:space="preserve">  </w:t>
      </w:r>
      <w:r>
        <w:rPr>
          <w:rFonts w:hint="eastAsia" w:ascii="Arial" w:hAnsi="Arial"/>
          <w:szCs w:val="36"/>
        </w:rPr>
        <w:t>响应文件格式</w:t>
      </w:r>
      <w:r>
        <w:tab/>
      </w:r>
      <w:r>
        <w:fldChar w:fldCharType="begin"/>
      </w:r>
      <w:r>
        <w:instrText xml:space="preserve"> PAGEREF _Toc1812 \h </w:instrText>
      </w:r>
      <w:r>
        <w:fldChar w:fldCharType="separate"/>
      </w:r>
      <w:r>
        <w:t>42</w:t>
      </w:r>
      <w:r>
        <w:fldChar w:fldCharType="end"/>
      </w:r>
      <w:r>
        <w:fldChar w:fldCharType="end"/>
      </w:r>
    </w:p>
    <w:p>
      <w:pPr>
        <w:pStyle w:val="40"/>
        <w:tabs>
          <w:tab w:val="right" w:leader="dot" w:pos="9070"/>
        </w:tabs>
        <w:spacing w:line="360" w:lineRule="auto"/>
      </w:pPr>
      <w:r>
        <w:fldChar w:fldCharType="begin"/>
      </w:r>
      <w:r>
        <w:instrText xml:space="preserve"> HYPERLINK \l "_Toc2700" </w:instrText>
      </w:r>
      <w:r>
        <w:fldChar w:fldCharType="separate"/>
      </w:r>
      <w:r>
        <w:rPr>
          <w:rFonts w:hint="eastAsia"/>
        </w:rPr>
        <w:t>第七章  政府采购供应商质疑函范本</w:t>
      </w:r>
      <w:r>
        <w:tab/>
      </w:r>
      <w:r>
        <w:fldChar w:fldCharType="begin"/>
      </w:r>
      <w:r>
        <w:instrText xml:space="preserve"> PAGEREF _Toc2700 \h </w:instrText>
      </w:r>
      <w:r>
        <w:fldChar w:fldCharType="separate"/>
      </w:r>
      <w:r>
        <w:t>57</w:t>
      </w:r>
      <w:r>
        <w:fldChar w:fldCharType="end"/>
      </w:r>
      <w:r>
        <w:fldChar w:fldCharType="end"/>
      </w:r>
    </w:p>
    <w:p>
      <w:pPr>
        <w:pStyle w:val="29"/>
        <w:tabs>
          <w:tab w:val="right" w:leader="dot" w:pos="9060"/>
        </w:tabs>
        <w:spacing w:line="360" w:lineRule="auto"/>
        <w:rPr>
          <w:szCs w:val="21"/>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szCs w:val="28"/>
        </w:rPr>
        <w:fldChar w:fldCharType="end"/>
      </w:r>
    </w:p>
    <w:p>
      <w:pPr>
        <w:pStyle w:val="29"/>
        <w:tabs>
          <w:tab w:val="right" w:leader="dot" w:pos="9060"/>
        </w:tabs>
        <w:spacing w:line="360" w:lineRule="auto"/>
        <w:jc w:val="center"/>
        <w:outlineLvl w:val="0"/>
        <w:rPr>
          <w:rFonts w:ascii="Arial" w:hAnsi="Arial"/>
          <w:b/>
          <w:bCs/>
          <w:i w:val="0"/>
          <w:iCs/>
          <w:sz w:val="32"/>
          <w:szCs w:val="32"/>
        </w:rPr>
      </w:pPr>
      <w:bookmarkStart w:id="4" w:name="_Toc7432"/>
      <w:r>
        <w:rPr>
          <w:rFonts w:hint="eastAsia"/>
          <w:b/>
          <w:bCs/>
          <w:i w:val="0"/>
          <w:iCs/>
          <w:sz w:val="32"/>
          <w:szCs w:val="32"/>
        </w:rPr>
        <w:t>第一章</w:t>
      </w:r>
      <w:r>
        <w:rPr>
          <w:b/>
          <w:bCs/>
          <w:i w:val="0"/>
          <w:iCs/>
          <w:sz w:val="32"/>
          <w:szCs w:val="32"/>
        </w:rPr>
        <w:t xml:space="preserve">  </w:t>
      </w:r>
      <w:bookmarkEnd w:id="0"/>
      <w:bookmarkEnd w:id="1"/>
      <w:bookmarkEnd w:id="2"/>
      <w:bookmarkEnd w:id="4"/>
      <w:r>
        <w:rPr>
          <w:rFonts w:hint="eastAsia"/>
          <w:b/>
          <w:bCs/>
          <w:i w:val="0"/>
          <w:iCs/>
          <w:sz w:val="32"/>
          <w:szCs w:val="32"/>
        </w:rPr>
        <w:t>磋商公告</w:t>
      </w:r>
    </w:p>
    <w:p>
      <w:pPr>
        <w:jc w:val="center"/>
        <w:rPr>
          <w:rFonts w:ascii="华文中宋" w:hAnsi="华文中宋" w:eastAsia="华文中宋"/>
          <w:kern w:val="44"/>
          <w:sz w:val="32"/>
          <w:szCs w:val="32"/>
        </w:rPr>
      </w:pPr>
      <w:bookmarkStart w:id="5" w:name="_Toc35393797"/>
      <w:bookmarkStart w:id="6" w:name="_Toc28359011"/>
      <w:r>
        <w:rPr>
          <w:rFonts w:hint="eastAsia" w:ascii="华文中宋" w:hAnsi="华文中宋" w:eastAsia="华文中宋"/>
          <w:kern w:val="44"/>
          <w:sz w:val="32"/>
          <w:szCs w:val="32"/>
          <w:lang w:eastAsia="zh-CN"/>
        </w:rPr>
        <w:t>潜山市中医院DSA部分医用耗材采购项目</w:t>
      </w:r>
      <w:r>
        <w:rPr>
          <w:rFonts w:hint="eastAsia" w:ascii="华文中宋" w:hAnsi="华文中宋" w:eastAsia="华文中宋"/>
          <w:kern w:val="44"/>
          <w:sz w:val="32"/>
          <w:szCs w:val="32"/>
        </w:rPr>
        <w:t>竞争性磋商公告</w:t>
      </w:r>
      <w:bookmarkEnd w:id="5"/>
      <w:bookmarkEnd w:id="6"/>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840" w:firstLineChars="300"/>
            </w:pPr>
            <w:r>
              <w:rPr>
                <w:rFonts w:hint="eastAsia" w:ascii="仿宋" w:hAnsi="仿宋" w:eastAsia="仿宋"/>
                <w:sz w:val="28"/>
                <w:szCs w:val="28"/>
                <w:u w:val="single"/>
              </w:rPr>
              <w:t>(</w:t>
            </w:r>
            <w:r>
              <w:rPr>
                <w:rFonts w:hint="eastAsia" w:ascii="仿宋" w:hAnsi="仿宋" w:eastAsia="仿宋"/>
                <w:sz w:val="28"/>
                <w:szCs w:val="28"/>
                <w:u w:val="single"/>
                <w:lang w:eastAsia="zh-CN"/>
              </w:rPr>
              <w:t>潜山市中医院DSA部分医用耗材采购项目</w:t>
            </w:r>
            <w:r>
              <w:rPr>
                <w:rFonts w:hint="eastAsia" w:ascii="仿宋" w:hAnsi="仿宋" w:eastAsia="仿宋"/>
                <w:sz w:val="28"/>
                <w:szCs w:val="28"/>
                <w:u w:val="single"/>
              </w:rPr>
              <w:t>)</w:t>
            </w:r>
            <w:r>
              <w:rPr>
                <w:rFonts w:hint="eastAsia" w:ascii="仿宋" w:hAnsi="仿宋" w:eastAsia="仿宋"/>
                <w:sz w:val="28"/>
                <w:szCs w:val="28"/>
              </w:rPr>
              <w:t>采购项目的潜在供应商应在安徽泰杰工程咨询有限公司获取采购文件，并于2024年</w:t>
            </w:r>
            <w:r>
              <w:rPr>
                <w:rFonts w:hint="eastAsia" w:ascii="仿宋" w:hAnsi="仿宋" w:eastAsia="仿宋"/>
                <w:sz w:val="28"/>
                <w:szCs w:val="28"/>
                <w:lang w:val="en-US" w:eastAsia="zh-CN"/>
              </w:rPr>
              <w:t>4月29日15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28359089"/>
      <w:bookmarkStart w:id="8" w:name="_Toc35393629"/>
      <w:bookmarkStart w:id="9" w:name="_Toc28359012"/>
      <w:bookmarkStart w:id="10" w:name="_Toc35393798"/>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皖TJ-CG24022</w:t>
      </w:r>
    </w:p>
    <w:p>
      <w:pPr>
        <w:ind w:firstLine="565" w:firstLineChars="202"/>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潜山市中医院DSA部分医用耗材采购项目</w:t>
      </w:r>
      <w:r>
        <w:rPr>
          <w:rFonts w:hint="eastAsia" w:ascii="仿宋" w:hAnsi="仿宋" w:eastAsia="仿宋"/>
          <w:sz w:val="28"/>
          <w:szCs w:val="28"/>
        </w:rPr>
        <w:t xml:space="preserve"> </w:t>
      </w:r>
    </w:p>
    <w:p>
      <w:pPr>
        <w:ind w:firstLine="565" w:firstLineChars="202"/>
        <w:rPr>
          <w:rFonts w:ascii="仿宋" w:hAnsi="仿宋" w:eastAsia="仿宋"/>
          <w:sz w:val="28"/>
          <w:szCs w:val="28"/>
        </w:rPr>
      </w:pPr>
      <w:r>
        <w:rPr>
          <w:rFonts w:hint="eastAsia" w:ascii="仿宋" w:hAnsi="仿宋" w:eastAsia="仿宋"/>
          <w:sz w:val="28"/>
          <w:szCs w:val="28"/>
        </w:rPr>
        <w:t>采购方式：竞争性磋商</w:t>
      </w:r>
    </w:p>
    <w:p>
      <w:pPr>
        <w:pStyle w:val="3"/>
        <w:ind w:firstLine="560" w:firstLineChars="200"/>
        <w:jc w:val="both"/>
      </w:pPr>
      <w:r>
        <w:rPr>
          <w:rFonts w:hint="eastAsia" w:ascii="仿宋" w:hAnsi="仿宋" w:eastAsia="仿宋"/>
          <w:b w:val="0"/>
          <w:sz w:val="28"/>
          <w:szCs w:val="28"/>
        </w:rPr>
        <w:t>邀请供应商方式：采购人和评审专家分别书面推荐</w:t>
      </w:r>
    </w:p>
    <w:p>
      <w:pPr>
        <w:autoSpaceDE w:val="0"/>
        <w:autoSpaceDN w:val="0"/>
        <w:adjustRightInd w:val="0"/>
        <w:ind w:firstLine="560" w:firstLineChars="200"/>
        <w:jc w:val="left"/>
        <w:rPr>
          <w:rFonts w:ascii="仿宋" w:hAnsi="仿宋" w:eastAsia="仿宋" w:cs="仿宋"/>
          <w:color w:val="000000"/>
          <w:sz w:val="28"/>
          <w:szCs w:val="28"/>
        </w:rPr>
      </w:pPr>
      <w:r>
        <w:rPr>
          <w:rFonts w:hint="eastAsia" w:ascii="仿宋" w:hAnsi="仿宋" w:eastAsia="仿宋"/>
          <w:sz w:val="28"/>
          <w:szCs w:val="28"/>
        </w:rPr>
        <w:t>最高</w:t>
      </w:r>
      <w:r>
        <w:rPr>
          <w:rFonts w:hint="eastAsia" w:ascii="仿宋" w:hAnsi="仿宋" w:eastAsia="仿宋"/>
          <w:sz w:val="28"/>
          <w:szCs w:val="28"/>
          <w:lang w:val="en-US" w:eastAsia="zh-CN"/>
        </w:rPr>
        <w:t>费率</w:t>
      </w:r>
      <w:r>
        <w:rPr>
          <w:rFonts w:hint="eastAsia" w:ascii="仿宋" w:hAnsi="仿宋" w:eastAsia="仿宋"/>
          <w:sz w:val="28"/>
          <w:szCs w:val="28"/>
        </w:rPr>
        <w:t>：</w:t>
      </w:r>
      <w:r>
        <w:rPr>
          <w:rFonts w:hint="eastAsia" w:ascii="仿宋" w:hAnsi="仿宋" w:eastAsia="仿宋"/>
          <w:sz w:val="28"/>
          <w:szCs w:val="28"/>
          <w:lang w:eastAsia="zh-CN"/>
        </w:rPr>
        <w:t>100%</w:t>
      </w:r>
      <w:r>
        <w:rPr>
          <w:rFonts w:ascii="仿宋" w:hAnsi="仿宋" w:eastAsia="仿宋" w:cs="仿宋"/>
          <w:color w:val="000000"/>
          <w:sz w:val="28"/>
          <w:szCs w:val="28"/>
        </w:rPr>
        <w:t>（</w:t>
      </w:r>
      <w:r>
        <w:rPr>
          <w:rFonts w:hint="eastAsia" w:ascii="仿宋" w:hAnsi="仿宋" w:eastAsia="仿宋" w:cs="仿宋"/>
          <w:color w:val="000000"/>
          <w:sz w:val="28"/>
          <w:szCs w:val="28"/>
          <w:lang w:eastAsia="zh-CN"/>
        </w:rPr>
        <w:t>包括但不限于货物的全部价款、税费、运输、装卸、安装、调试、检测、人工费、保险等验收合格交付使用之前发生的所有费用以及技术和售后服务、招标代理服务费等其他各项与之有关所有费用。</w:t>
      </w:r>
      <w:r>
        <w:rPr>
          <w:rFonts w:ascii="仿宋" w:hAnsi="仿宋" w:eastAsia="仿宋" w:cs="仿宋"/>
          <w:color w:val="000000"/>
          <w:sz w:val="28"/>
          <w:szCs w:val="28"/>
        </w:rPr>
        <w:t>）</w:t>
      </w:r>
    </w:p>
    <w:p>
      <w:pPr>
        <w:ind w:firstLine="565" w:firstLineChars="202"/>
        <w:rPr>
          <w:rFonts w:ascii="仿宋" w:hAnsi="仿宋" w:eastAsia="仿宋"/>
          <w:sz w:val="28"/>
          <w:szCs w:val="28"/>
        </w:rPr>
      </w:pPr>
      <w:r>
        <w:rPr>
          <w:rFonts w:hint="eastAsia" w:ascii="仿宋" w:hAnsi="仿宋" w:eastAsia="仿宋"/>
          <w:sz w:val="28"/>
          <w:szCs w:val="28"/>
        </w:rPr>
        <w:t>采购需求：详见第三章采购需求</w:t>
      </w:r>
    </w:p>
    <w:p>
      <w:pPr>
        <w:ind w:firstLine="565" w:firstLineChars="202"/>
        <w:rPr>
          <w:rFonts w:ascii="仿宋" w:hAnsi="仿宋" w:eastAsia="仿宋"/>
          <w:sz w:val="28"/>
          <w:szCs w:val="28"/>
        </w:rPr>
      </w:pPr>
      <w:r>
        <w:rPr>
          <w:rFonts w:hint="eastAsia" w:ascii="仿宋" w:hAnsi="仿宋" w:eastAsia="仿宋"/>
          <w:sz w:val="28"/>
          <w:szCs w:val="28"/>
        </w:rPr>
        <w:t>需求合同履行期限：</w:t>
      </w:r>
      <w:r>
        <w:rPr>
          <w:rFonts w:hint="eastAsia" w:ascii="仿宋" w:hAnsi="仿宋" w:eastAsia="仿宋"/>
          <w:sz w:val="28"/>
          <w:szCs w:val="28"/>
          <w:lang w:eastAsia="zh-CN"/>
        </w:rPr>
        <w:t>自合同签订之日起1年为准，在供货期内按照采购人的要求分批供货，据实结算。</w:t>
      </w:r>
      <w:r>
        <w:rPr>
          <w:rFonts w:hint="eastAsia" w:ascii="仿宋" w:hAnsi="仿宋" w:eastAsia="仿宋"/>
          <w:sz w:val="28"/>
          <w:szCs w:val="28"/>
        </w:rPr>
        <w:t xml:space="preserve"> </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799"/>
      <w:bookmarkStart w:id="12" w:name="_Toc28359013"/>
      <w:bookmarkStart w:id="13" w:name="_Toc35393630"/>
      <w:bookmarkStart w:id="14" w:name="_Toc28359090"/>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bookmarkStart w:id="15" w:name="_Toc28359091"/>
      <w:bookmarkStart w:id="16" w:name="_Toc35393631"/>
      <w:bookmarkStart w:id="17" w:name="_Toc35393800"/>
      <w:bookmarkStart w:id="18" w:name="_Toc28359014"/>
      <w:r>
        <w:rPr>
          <w:rFonts w:hint="eastAsia" w:ascii="仿宋" w:hAnsi="仿宋" w:eastAsia="仿宋"/>
          <w:sz w:val="28"/>
          <w:szCs w:val="28"/>
        </w:rPr>
        <w:t>1.满足《中华人民共和国政府采购法》第二十二条规定；</w:t>
      </w:r>
    </w:p>
    <w:p>
      <w:pPr>
        <w:spacing w:line="420" w:lineRule="exact"/>
        <w:ind w:firstLine="560" w:firstLineChars="200"/>
        <w:rPr>
          <w:rFonts w:hint="eastAsia" w:ascii="仿宋" w:hAnsi="仿宋" w:eastAsia="仿宋"/>
          <w:sz w:val="28"/>
          <w:szCs w:val="28"/>
          <w:lang w:val="en-US" w:eastAsia="zh-CN"/>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无</w:t>
      </w:r>
    </w:p>
    <w:p>
      <w:pPr>
        <w:widowControl/>
        <w:shd w:val="clear" w:color="auto" w:fill="FFFFFF"/>
        <w:spacing w:line="440" w:lineRule="exact"/>
        <w:ind w:firstLine="560" w:firstLineChars="200"/>
        <w:jc w:val="left"/>
        <w:rPr>
          <w:rFonts w:hint="eastAsia" w:ascii="仿宋" w:hAnsi="仿宋" w:eastAsia="仿宋" w:cs="Times New Roman"/>
          <w:sz w:val="28"/>
          <w:szCs w:val="28"/>
          <w:lang w:val="en-US" w:eastAsia="zh-CN"/>
        </w:rPr>
      </w:pPr>
      <w:r>
        <w:rPr>
          <w:rFonts w:hint="eastAsia" w:ascii="仿宋" w:hAnsi="仿宋" w:eastAsia="仿宋"/>
          <w:sz w:val="28"/>
          <w:szCs w:val="28"/>
        </w:rPr>
        <w:t>3.本项目的特定资格要求：</w:t>
      </w:r>
      <w:r>
        <w:rPr>
          <w:rFonts w:hint="eastAsia" w:ascii="仿宋" w:hAnsi="仿宋" w:eastAsia="仿宋" w:cs="Times New Roman"/>
          <w:sz w:val="28"/>
          <w:szCs w:val="28"/>
          <w:lang w:val="en-US" w:eastAsia="zh-CN"/>
        </w:rPr>
        <w:t>（1）具有合法有效的营业执照。</w:t>
      </w:r>
    </w:p>
    <w:p>
      <w:pPr>
        <w:widowControl/>
        <w:shd w:val="clear" w:color="auto" w:fill="FFFFFF"/>
        <w:spacing w:line="440" w:lineRule="exact"/>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供应商如为生产商，应具有《医疗器械经营企业许可证》或《医疗器械经营备案凭证》、《医疗器械生产许可证》（须在有效期内）；供应商如为代理商或经销商，应具有《医疗器械经营企业许可证》（须在有效期内）。</w:t>
      </w:r>
    </w:p>
    <w:p>
      <w:pPr>
        <w:widowControl/>
        <w:shd w:val="clear" w:color="auto" w:fill="FFFFFF"/>
        <w:spacing w:line="440" w:lineRule="exact"/>
        <w:ind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4.本项目不接受联合体参与采购活动。</w:t>
      </w:r>
    </w:p>
    <w:p>
      <w:pPr>
        <w:rPr>
          <w:rFonts w:ascii="黑体" w:hAnsi="黑体" w:eastAsia="黑体" w:cs="宋体"/>
          <w:bCs/>
          <w:sz w:val="28"/>
          <w:szCs w:val="28"/>
        </w:rPr>
      </w:pPr>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2024年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2024年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，每天上午8:0</w:t>
      </w:r>
      <w:r>
        <w:rPr>
          <w:rFonts w:ascii="仿宋" w:hAnsi="仿宋" w:eastAsia="仿宋" w:cs="宋体"/>
          <w:sz w:val="28"/>
          <w:szCs w:val="28"/>
        </w:rPr>
        <w:t>0</w:t>
      </w:r>
      <w:r>
        <w:rPr>
          <w:rFonts w:hint="eastAsia" w:ascii="仿宋" w:hAnsi="仿宋" w:eastAsia="仿宋" w:cs="宋体"/>
          <w:sz w:val="28"/>
          <w:szCs w:val="28"/>
        </w:rPr>
        <w:t>至1</w:t>
      </w:r>
      <w:r>
        <w:rPr>
          <w:rFonts w:ascii="仿宋" w:hAnsi="仿宋" w:eastAsia="仿宋" w:cs="宋体"/>
          <w:sz w:val="28"/>
          <w:szCs w:val="28"/>
        </w:rPr>
        <w:t>2</w:t>
      </w:r>
      <w:r>
        <w:rPr>
          <w:rFonts w:hint="eastAsia" w:ascii="仿宋" w:hAnsi="仿宋" w:eastAsia="仿宋" w:cs="宋体"/>
          <w:sz w:val="28"/>
          <w:szCs w:val="28"/>
        </w:rPr>
        <w:t>:0</w:t>
      </w:r>
      <w:r>
        <w:rPr>
          <w:rFonts w:ascii="仿宋" w:hAnsi="仿宋" w:eastAsia="仿宋" w:cs="宋体"/>
          <w:sz w:val="28"/>
          <w:szCs w:val="28"/>
        </w:rPr>
        <w:t>0</w:t>
      </w:r>
      <w:r>
        <w:rPr>
          <w:rFonts w:hint="eastAsia" w:ascii="仿宋" w:hAnsi="仿宋" w:eastAsia="仿宋" w:cs="宋体"/>
          <w:sz w:val="28"/>
          <w:szCs w:val="28"/>
        </w:rPr>
        <w:t>，下午1</w:t>
      </w:r>
      <w:r>
        <w:rPr>
          <w:rFonts w:ascii="仿宋" w:hAnsi="仿宋" w:eastAsia="仿宋" w:cs="宋体"/>
          <w:sz w:val="28"/>
          <w:szCs w:val="28"/>
        </w:rPr>
        <w:t>4</w:t>
      </w:r>
      <w:r>
        <w:rPr>
          <w:rFonts w:hint="eastAsia" w:ascii="仿宋" w:hAnsi="仿宋" w:eastAsia="仿宋" w:cs="宋体"/>
          <w:sz w:val="28"/>
          <w:szCs w:val="28"/>
        </w:rPr>
        <w:t>:3</w:t>
      </w:r>
      <w:r>
        <w:rPr>
          <w:rFonts w:ascii="仿宋" w:hAnsi="仿宋" w:eastAsia="仿宋" w:cs="宋体"/>
          <w:sz w:val="28"/>
          <w:szCs w:val="28"/>
        </w:rPr>
        <w:t>0</w:t>
      </w:r>
      <w:r>
        <w:rPr>
          <w:rFonts w:hint="eastAsia" w:ascii="仿宋" w:hAnsi="仿宋" w:eastAsia="仿宋" w:cs="宋体"/>
          <w:sz w:val="28"/>
          <w:szCs w:val="28"/>
        </w:rPr>
        <w:t>至1</w:t>
      </w:r>
      <w:r>
        <w:rPr>
          <w:rFonts w:ascii="仿宋" w:hAnsi="仿宋" w:eastAsia="仿宋" w:cs="宋体"/>
          <w:sz w:val="28"/>
          <w:szCs w:val="28"/>
        </w:rPr>
        <w:t>7</w:t>
      </w:r>
      <w:r>
        <w:rPr>
          <w:rFonts w:hint="eastAsia" w:ascii="仿宋" w:hAnsi="仿宋" w:eastAsia="仿宋" w:cs="宋体"/>
          <w:sz w:val="28"/>
          <w:szCs w:val="28"/>
        </w:rPr>
        <w:t>:3</w:t>
      </w:r>
      <w:r>
        <w:rPr>
          <w:rFonts w:ascii="仿宋" w:hAnsi="仿宋" w:eastAsia="仿宋" w:cs="宋体"/>
          <w:sz w:val="28"/>
          <w:szCs w:val="28"/>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5" w:firstLineChars="202"/>
        <w:rPr>
          <w:rFonts w:ascii="仿宋" w:hAnsi="仿宋" w:eastAsia="仿宋" w:cs="宋体"/>
          <w:sz w:val="28"/>
          <w:szCs w:val="28"/>
        </w:rPr>
      </w:pPr>
      <w:r>
        <w:rPr>
          <w:rFonts w:hint="eastAsia" w:ascii="仿宋" w:hAnsi="仿宋" w:eastAsia="仿宋" w:cs="宋体"/>
          <w:sz w:val="28"/>
          <w:szCs w:val="28"/>
        </w:rPr>
        <w:t>地点：潜山市开发区八一大道与三合路交叉口1幢1号</w:t>
      </w:r>
    </w:p>
    <w:p>
      <w:pPr>
        <w:ind w:firstLine="565" w:firstLineChars="202"/>
        <w:rPr>
          <w:rFonts w:ascii="仿宋" w:hAnsi="仿宋" w:eastAsia="仿宋" w:cs="宋体"/>
          <w:sz w:val="28"/>
          <w:szCs w:val="28"/>
        </w:rPr>
      </w:pPr>
      <w:r>
        <w:rPr>
          <w:rFonts w:hint="eastAsia" w:ascii="仿宋" w:hAnsi="仿宋" w:eastAsia="仿宋" w:cs="宋体"/>
          <w:sz w:val="28"/>
          <w:szCs w:val="28"/>
        </w:rPr>
        <w:t>方式：经办人持报名资料（企业营业执照、法定代表人身份证明或授权委托书、经办人身份证复印件）购买招标文件，逾期拒绝办理（</w:t>
      </w:r>
      <w:r>
        <w:fldChar w:fldCharType="begin"/>
      </w:r>
      <w:r>
        <w:instrText xml:space="preserve"> HYPERLINK "mailto:或将上述报名资料扫描件发送至anhuitaijie@outlook.com" </w:instrText>
      </w:r>
      <w:r>
        <w:fldChar w:fldCharType="separate"/>
      </w:r>
      <w:r>
        <w:rPr>
          <w:rFonts w:hint="eastAsia" w:ascii="仿宋" w:hAnsi="仿宋" w:eastAsia="仿宋" w:cs="宋体"/>
          <w:sz w:val="28"/>
          <w:szCs w:val="28"/>
        </w:rPr>
        <w:t>或将上述报名资料扫描件发送至anhuitaijie@outlook.com</w:t>
      </w:r>
      <w:r>
        <w:rPr>
          <w:rFonts w:hint="eastAsia" w:ascii="仿宋" w:hAnsi="仿宋" w:eastAsia="仿宋" w:cs="宋体"/>
          <w:sz w:val="28"/>
          <w:szCs w:val="28"/>
        </w:rPr>
        <w:fldChar w:fldCharType="end"/>
      </w:r>
      <w:r>
        <w:rPr>
          <w:rFonts w:hint="eastAsia" w:ascii="仿宋" w:hAnsi="仿宋" w:eastAsia="仿宋" w:cs="宋体"/>
          <w:sz w:val="28"/>
          <w:szCs w:val="28"/>
        </w:rPr>
        <w:t>）。</w:t>
      </w:r>
    </w:p>
    <w:p>
      <w:pPr>
        <w:ind w:firstLine="565" w:firstLineChars="202"/>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免费</w:t>
      </w:r>
      <w:r>
        <w:rPr>
          <w:rFonts w:hint="eastAsia" w:ascii="仿宋" w:hAnsi="仿宋" w:eastAsia="仿宋" w:cs="宋体"/>
          <w:sz w:val="28"/>
          <w:szCs w:val="28"/>
        </w:rPr>
        <w:t>。</w:t>
      </w:r>
    </w:p>
    <w:p>
      <w:pPr>
        <w:rPr>
          <w:rFonts w:ascii="黑体" w:hAnsi="黑体" w:eastAsia="黑体" w:cs="宋体"/>
          <w:bCs/>
          <w:sz w:val="28"/>
          <w:szCs w:val="28"/>
        </w:rPr>
      </w:pPr>
      <w:bookmarkStart w:id="19" w:name="_Toc28359015"/>
      <w:bookmarkStart w:id="20" w:name="_Toc28359092"/>
      <w:bookmarkStart w:id="21" w:name="_Toc35393632"/>
      <w:bookmarkStart w:id="22" w:name="_Toc35393801"/>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2024</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4月29日15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地点：安徽泰杰工程咨询有限公司（潜山市开发区八一大道与三合路交叉口1幢1号）</w:t>
      </w:r>
    </w:p>
    <w:p>
      <w:pPr>
        <w:rPr>
          <w:rFonts w:ascii="黑体" w:hAnsi="黑体" w:eastAsia="黑体" w:cs="宋体"/>
          <w:bCs/>
          <w:sz w:val="28"/>
          <w:szCs w:val="28"/>
        </w:rPr>
      </w:pPr>
      <w:bookmarkStart w:id="23" w:name="_Toc35393633"/>
      <w:bookmarkStart w:id="24" w:name="_Toc35393802"/>
      <w:bookmarkStart w:id="25" w:name="_Toc28359016"/>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u w:val="single"/>
        </w:rPr>
        <w:t>2024年</w:t>
      </w:r>
      <w:r>
        <w:rPr>
          <w:rFonts w:hint="eastAsia" w:ascii="仿宋" w:hAnsi="仿宋" w:eastAsia="仿宋"/>
          <w:sz w:val="28"/>
          <w:szCs w:val="28"/>
          <w:u w:val="single"/>
          <w:lang w:val="en-US" w:eastAsia="zh-CN"/>
        </w:rPr>
        <w:t>4月29日15</w:t>
      </w:r>
      <w:r>
        <w:rPr>
          <w:rFonts w:hint="eastAsia" w:ascii="仿宋" w:hAnsi="仿宋" w:eastAsia="仿宋"/>
          <w:sz w:val="28"/>
          <w:szCs w:val="28"/>
          <w:u w:val="single"/>
        </w:rPr>
        <w:t>点</w:t>
      </w:r>
      <w:r>
        <w:rPr>
          <w:rFonts w:hint="eastAsia" w:ascii="仿宋" w:hAnsi="仿宋" w:eastAsia="仿宋"/>
          <w:sz w:val="28"/>
          <w:szCs w:val="28"/>
          <w:u w:val="single"/>
          <w:lang w:val="en-US" w:eastAsia="zh-CN"/>
        </w:rPr>
        <w:t>00</w:t>
      </w:r>
      <w:r>
        <w:rPr>
          <w:rFonts w:hint="eastAsia" w:ascii="仿宋" w:hAnsi="仿宋" w:eastAsia="仿宋"/>
          <w:sz w:val="28"/>
          <w:szCs w:val="28"/>
          <w:u w:val="single"/>
        </w:rPr>
        <w:t>分</w:t>
      </w:r>
      <w:r>
        <w:rPr>
          <w:rFonts w:hint="eastAsia" w:ascii="仿宋" w:hAnsi="仿宋" w:eastAsia="仿宋"/>
          <w:sz w:val="28"/>
          <w:szCs w:val="28"/>
        </w:rPr>
        <w:t>（北京时间）</w:t>
      </w:r>
    </w:p>
    <w:p>
      <w:pPr>
        <w:ind w:firstLine="565" w:firstLineChars="202"/>
      </w:pPr>
      <w:bookmarkStart w:id="27" w:name="_Toc35393634"/>
      <w:bookmarkStart w:id="28" w:name="_Toc28359017"/>
      <w:bookmarkStart w:id="29" w:name="_Toc35393803"/>
      <w:bookmarkStart w:id="30" w:name="_Toc28359094"/>
      <w:r>
        <w:rPr>
          <w:rFonts w:hint="eastAsia" w:ascii="仿宋" w:hAnsi="仿宋" w:eastAsia="仿宋"/>
          <w:sz w:val="28"/>
          <w:szCs w:val="28"/>
        </w:rPr>
        <w:t>地点：安徽泰杰工程咨询有限公司（潜山市开发区八一大道与三合路交叉口1幢1号）</w:t>
      </w:r>
      <w:r>
        <w:rPr>
          <w:rFonts w:hint="eastAsia" w:ascii="仿宋" w:hAnsi="仿宋" w:eastAsia="仿宋" w:cs="宋体"/>
          <w:kern w:val="0"/>
          <w:sz w:val="28"/>
          <w:szCs w:val="28"/>
        </w:rPr>
        <w:t xml:space="preserve">  </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numPr>
          <w:ilvl w:val="0"/>
          <w:numId w:val="5"/>
        </w:num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其他补充事宜</w:t>
      </w:r>
      <w:bookmarkEnd w:id="31"/>
      <w:bookmarkEnd w:id="32"/>
    </w:p>
    <w:p>
      <w:pPr>
        <w:pStyle w:val="74"/>
        <w:ind w:left="0" w:firstLine="560" w:firstLineChars="200"/>
      </w:pPr>
      <w:r>
        <w:rPr>
          <w:rFonts w:hint="eastAsia" w:ascii="仿宋" w:hAnsi="仿宋" w:eastAsia="仿宋" w:cs="宋体"/>
          <w:kern w:val="0"/>
          <w:sz w:val="28"/>
          <w:szCs w:val="28"/>
        </w:rPr>
        <w:t>1、本项目落实节能环保、中小微型企业扶持等相关政府采购政策。</w:t>
      </w:r>
    </w:p>
    <w:p>
      <w:pPr>
        <w:ind w:firstLine="565" w:firstLineChars="202"/>
        <w:rPr>
          <w:rFonts w:ascii="仿宋" w:hAnsi="仿宋" w:eastAsia="仿宋"/>
          <w:sz w:val="28"/>
          <w:szCs w:val="28"/>
        </w:rPr>
      </w:pPr>
      <w:r>
        <w:rPr>
          <w:rFonts w:hint="eastAsia" w:ascii="仿宋" w:hAnsi="仿宋" w:eastAsia="仿宋"/>
          <w:sz w:val="28"/>
          <w:szCs w:val="28"/>
        </w:rPr>
        <w:t>2、供应商的联系人电话(手机)、电子邮箱等通讯方式在磋商过程中必须保持畅通，否则因上述原因造成的后果，责任自负。</w:t>
      </w:r>
    </w:p>
    <w:p>
      <w:pPr>
        <w:ind w:firstLine="560" w:firstLineChars="200"/>
        <w:rPr>
          <w:rFonts w:ascii="仿宋" w:hAnsi="仿宋" w:eastAsia="仿宋"/>
          <w:sz w:val="28"/>
          <w:szCs w:val="28"/>
        </w:rPr>
      </w:pPr>
      <w:bookmarkStart w:id="33" w:name="_Toc35393636"/>
      <w:bookmarkStart w:id="34" w:name="_Toc28359095"/>
      <w:bookmarkStart w:id="35" w:name="_Toc28359018"/>
      <w:bookmarkStart w:id="36" w:name="_Toc35393805"/>
      <w:r>
        <w:rPr>
          <w:rFonts w:hint="eastAsia" w:ascii="仿宋" w:hAnsi="仿宋" w:eastAsia="仿宋"/>
          <w:sz w:val="28"/>
          <w:szCs w:val="28"/>
        </w:rPr>
        <w:t>3、本项目采用纸质招投标方式，仔细阅读招标文件要求。</w:t>
      </w:r>
    </w:p>
    <w:p>
      <w:pPr>
        <w:rPr>
          <w:rFonts w:ascii="黑体" w:hAnsi="黑体" w:eastAsia="黑体"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28359019"/>
      <w:bookmarkStart w:id="38" w:name="_Toc35393637"/>
      <w:bookmarkStart w:id="39" w:name="_Toc35393806"/>
      <w:bookmarkStart w:id="40" w:name="_Toc28359096"/>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hint="eastAsia" w:ascii="仿宋" w:hAnsi="仿宋" w:eastAsia="仿宋"/>
          <w:sz w:val="28"/>
          <w:szCs w:val="28"/>
          <w:lang w:eastAsia="zh-CN"/>
        </w:rPr>
      </w:pPr>
      <w:r>
        <w:rPr>
          <w:rFonts w:hint="eastAsia" w:ascii="仿宋" w:hAnsi="仿宋" w:eastAsia="仿宋"/>
          <w:sz w:val="28"/>
          <w:szCs w:val="28"/>
        </w:rPr>
        <w:t xml:space="preserve">名    称： </w:t>
      </w:r>
      <w:r>
        <w:rPr>
          <w:rFonts w:hint="eastAsia" w:ascii="仿宋" w:hAnsi="仿宋" w:eastAsia="仿宋"/>
          <w:sz w:val="28"/>
          <w:szCs w:val="28"/>
          <w:lang w:eastAsia="zh-CN"/>
        </w:rPr>
        <w:t>潜山市中医院</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 xml:space="preserve">地    址： </w:t>
      </w:r>
      <w:r>
        <w:rPr>
          <w:rFonts w:hint="eastAsia" w:ascii="仿宋" w:hAnsi="仿宋" w:eastAsia="仿宋"/>
          <w:sz w:val="28"/>
          <w:szCs w:val="28"/>
          <w:lang w:eastAsia="zh-CN"/>
        </w:rPr>
        <w:t>潜山市</w:t>
      </w:r>
    </w:p>
    <w:p>
      <w:pPr>
        <w:ind w:firstLine="565" w:firstLineChars="202"/>
        <w:rPr>
          <w:rFonts w:hint="eastAsia" w:ascii="仿宋" w:hAnsi="仿宋" w:eastAsia="仿宋" w:cstheme="minorBidi"/>
          <w:sz w:val="28"/>
          <w:szCs w:val="28"/>
          <w:lang w:eastAsia="zh-CN"/>
        </w:rPr>
      </w:pPr>
      <w:r>
        <w:rPr>
          <w:rFonts w:hint="eastAsia" w:ascii="仿宋" w:hAnsi="仿宋" w:eastAsia="仿宋" w:cstheme="minorBidi"/>
          <w:sz w:val="28"/>
          <w:szCs w:val="28"/>
        </w:rPr>
        <w:t xml:space="preserve">联 系 人： </w:t>
      </w:r>
      <w:r>
        <w:rPr>
          <w:rFonts w:hint="eastAsia" w:ascii="仿宋" w:hAnsi="仿宋" w:eastAsia="仿宋" w:cstheme="minorBidi"/>
          <w:sz w:val="28"/>
          <w:szCs w:val="28"/>
          <w:lang w:eastAsia="zh-CN"/>
        </w:rPr>
        <w:t>徐先生</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联系方式：</w:t>
      </w:r>
      <w:bookmarkStart w:id="41" w:name="_Toc35393807"/>
      <w:bookmarkStart w:id="42" w:name="_Toc28359020"/>
      <w:bookmarkStart w:id="43" w:name="_Toc28359097"/>
      <w:bookmarkStart w:id="44" w:name="_Toc35393638"/>
      <w:r>
        <w:rPr>
          <w:rFonts w:hint="eastAsia" w:ascii="仿宋" w:hAnsi="仿宋" w:eastAsia="仿宋"/>
          <w:sz w:val="28"/>
          <w:szCs w:val="28"/>
        </w:rPr>
        <w:t xml:space="preserve"> </w:t>
      </w:r>
      <w:r>
        <w:rPr>
          <w:rFonts w:hint="eastAsia" w:ascii="仿宋" w:hAnsi="仿宋" w:eastAsia="仿宋"/>
          <w:sz w:val="28"/>
          <w:szCs w:val="28"/>
          <w:lang w:eastAsia="zh-CN"/>
        </w:rPr>
        <w:t>18133057197</w:t>
      </w:r>
    </w:p>
    <w:p>
      <w:pPr>
        <w:ind w:firstLine="565" w:firstLineChars="202"/>
        <w:rPr>
          <w:rFonts w:ascii="仿宋" w:hAnsi="仿宋" w:eastAsia="仿宋" w:cs="宋体"/>
          <w:bCs/>
          <w:sz w:val="28"/>
          <w:szCs w:val="28"/>
        </w:rPr>
      </w:pPr>
      <w:r>
        <w:rPr>
          <w:rFonts w:hint="eastAsia" w:ascii="仿宋" w:hAnsi="仿宋" w:eastAsia="仿宋" w:cs="宋体"/>
          <w:bCs/>
          <w:sz w:val="28"/>
          <w:szCs w:val="28"/>
        </w:rPr>
        <w:t>2.采购代理机构信息</w:t>
      </w:r>
      <w:bookmarkEnd w:id="41"/>
      <w:bookmarkEnd w:id="42"/>
      <w:bookmarkEnd w:id="43"/>
      <w:bookmarkEnd w:id="44"/>
    </w:p>
    <w:p>
      <w:pPr>
        <w:ind w:firstLine="565" w:firstLineChars="202"/>
        <w:rPr>
          <w:rFonts w:ascii="仿宋" w:hAnsi="仿宋" w:eastAsia="仿宋" w:cs="宋体"/>
          <w:bCs/>
          <w:sz w:val="28"/>
          <w:szCs w:val="28"/>
        </w:rPr>
      </w:pPr>
      <w:bookmarkStart w:id="45" w:name="_Toc35393808"/>
      <w:bookmarkStart w:id="46" w:name="_Toc35393639"/>
      <w:bookmarkStart w:id="47" w:name="_Toc28359098"/>
      <w:bookmarkStart w:id="48" w:name="_Toc28359021"/>
      <w:r>
        <w:rPr>
          <w:rFonts w:hint="eastAsia" w:ascii="仿宋" w:hAnsi="仿宋" w:eastAsia="仿宋" w:cs="宋体"/>
          <w:bCs/>
          <w:sz w:val="28"/>
          <w:szCs w:val="28"/>
        </w:rPr>
        <w:t>名    称：安徽泰杰工程咨询有限公司</w:t>
      </w:r>
    </w:p>
    <w:p>
      <w:pPr>
        <w:ind w:firstLine="565" w:firstLineChars="202"/>
        <w:rPr>
          <w:rFonts w:ascii="仿宋" w:hAnsi="仿宋" w:eastAsia="仿宋" w:cs="宋体"/>
          <w:bCs/>
          <w:sz w:val="28"/>
          <w:szCs w:val="28"/>
        </w:rPr>
      </w:pPr>
      <w:r>
        <w:rPr>
          <w:rFonts w:hint="eastAsia" w:ascii="仿宋" w:hAnsi="仿宋" w:eastAsia="仿宋" w:cs="宋体"/>
          <w:bCs/>
          <w:sz w:val="28"/>
          <w:szCs w:val="28"/>
        </w:rPr>
        <w:t>地　  址：潜山市开发区八一大道与三合路交叉口1幢1号</w:t>
      </w:r>
    </w:p>
    <w:p>
      <w:pPr>
        <w:ind w:firstLine="565" w:firstLineChars="202"/>
        <w:rPr>
          <w:rFonts w:ascii="仿宋" w:hAnsi="仿宋" w:eastAsia="仿宋" w:cs="宋体"/>
          <w:bCs/>
          <w:sz w:val="28"/>
          <w:szCs w:val="28"/>
        </w:rPr>
      </w:pPr>
      <w:r>
        <w:rPr>
          <w:rFonts w:hint="eastAsia" w:ascii="仿宋" w:hAnsi="仿宋" w:eastAsia="仿宋" w:cs="宋体"/>
          <w:bCs/>
          <w:sz w:val="28"/>
          <w:szCs w:val="28"/>
        </w:rPr>
        <w:t>联系人：</w:t>
      </w:r>
      <w:r>
        <w:rPr>
          <w:rFonts w:hint="eastAsia" w:ascii="仿宋" w:hAnsi="仿宋" w:eastAsia="仿宋" w:cs="宋体"/>
          <w:bCs/>
          <w:sz w:val="28"/>
          <w:szCs w:val="28"/>
          <w:lang w:eastAsia="zh-CN"/>
        </w:rPr>
        <w:t>陶金健</w:t>
      </w:r>
      <w:r>
        <w:rPr>
          <w:rFonts w:hint="eastAsia" w:ascii="仿宋" w:hAnsi="仿宋" w:eastAsia="仿宋" w:cs="宋体"/>
          <w:bCs/>
          <w:sz w:val="28"/>
          <w:szCs w:val="28"/>
        </w:rPr>
        <w:t xml:space="preserve">      </w:t>
      </w:r>
    </w:p>
    <w:p>
      <w:pPr>
        <w:ind w:firstLine="565" w:firstLineChars="202"/>
        <w:rPr>
          <w:rFonts w:hint="eastAsia" w:ascii="仿宋" w:hAnsi="仿宋" w:eastAsia="仿宋" w:cs="宋体"/>
          <w:bCs/>
          <w:sz w:val="28"/>
          <w:szCs w:val="28"/>
          <w:lang w:eastAsia="zh-CN"/>
        </w:rPr>
      </w:pPr>
      <w:r>
        <w:rPr>
          <w:rFonts w:hint="eastAsia" w:ascii="仿宋" w:hAnsi="仿宋" w:eastAsia="仿宋" w:cs="宋体"/>
          <w:bCs/>
          <w:sz w:val="28"/>
          <w:szCs w:val="28"/>
        </w:rPr>
        <w:t>联系方式：</w:t>
      </w:r>
      <w:r>
        <w:rPr>
          <w:rFonts w:hint="eastAsia" w:ascii="仿宋" w:hAnsi="仿宋" w:eastAsia="仿宋" w:cs="宋体"/>
          <w:bCs/>
          <w:sz w:val="28"/>
          <w:szCs w:val="28"/>
          <w:lang w:eastAsia="zh-CN"/>
        </w:rPr>
        <w:t>13170280206</w:t>
      </w:r>
    </w:p>
    <w:p>
      <w:pPr>
        <w:ind w:firstLine="565" w:firstLineChars="202"/>
        <w:rPr>
          <w:rFonts w:ascii="仿宋" w:hAnsi="仿宋" w:eastAsia="仿宋" w:cs="宋体"/>
          <w:bCs/>
          <w:sz w:val="28"/>
          <w:szCs w:val="28"/>
        </w:rPr>
      </w:pPr>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ascii="仿宋" w:hAnsi="仿宋" w:eastAsia="仿宋" w:cstheme="minorBidi"/>
          <w:sz w:val="28"/>
          <w:szCs w:val="28"/>
        </w:rPr>
      </w:pPr>
      <w:r>
        <w:rPr>
          <w:rFonts w:hint="eastAsia" w:ascii="仿宋" w:hAnsi="仿宋" w:eastAsia="仿宋" w:cstheme="minorBidi"/>
          <w:sz w:val="28"/>
          <w:szCs w:val="28"/>
        </w:rPr>
        <w:t>项目联系人：</w:t>
      </w:r>
      <w:r>
        <w:rPr>
          <w:rFonts w:hint="eastAsia" w:ascii="仿宋" w:hAnsi="仿宋" w:eastAsia="仿宋" w:cstheme="minorBidi"/>
          <w:sz w:val="28"/>
          <w:szCs w:val="28"/>
          <w:lang w:eastAsia="zh-CN"/>
        </w:rPr>
        <w:t>徐先生</w:t>
      </w:r>
      <w:r>
        <w:rPr>
          <w:rFonts w:hint="eastAsia" w:ascii="仿宋" w:hAnsi="仿宋" w:eastAsia="仿宋" w:cstheme="minorBidi"/>
          <w:sz w:val="28"/>
          <w:szCs w:val="28"/>
        </w:rPr>
        <w:t xml:space="preserve"> </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lang w:eastAsia="zh-CN"/>
        </w:rPr>
        <w:t>18133057197</w:t>
      </w:r>
    </w:p>
    <w:p>
      <w:pPr>
        <w:ind w:firstLine="424" w:firstLineChars="202"/>
        <w:rPr>
          <w:szCs w:val="21"/>
        </w:rPr>
      </w:pPr>
      <w:r>
        <w:rPr>
          <w:szCs w:val="21"/>
        </w:rPr>
        <w:br w:type="page"/>
      </w:r>
      <w:bookmarkStart w:id="269" w:name="_GoBack"/>
      <w:bookmarkEnd w:id="269"/>
    </w:p>
    <w:p>
      <w:pPr>
        <w:pStyle w:val="2"/>
        <w:spacing w:before="62" w:beforeLines="20" w:after="62" w:afterLines="20" w:line="480" w:lineRule="exact"/>
        <w:ind w:firstLine="0" w:firstLineChars="0"/>
        <w:jc w:val="center"/>
        <w:rPr>
          <w:rFonts w:ascii="Arial" w:hAnsi="Arial"/>
          <w:kern w:val="2"/>
          <w:sz w:val="32"/>
          <w:szCs w:val="32"/>
        </w:rPr>
      </w:pPr>
      <w:bookmarkStart w:id="49" w:name="_Toc54941329"/>
      <w:bookmarkStart w:id="50" w:name="_Toc26069"/>
      <w:bookmarkStart w:id="51" w:name="_Toc11266"/>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竞争性磋商须知</w:t>
      </w:r>
      <w:bookmarkEnd w:id="3"/>
      <w:bookmarkEnd w:id="49"/>
      <w:bookmarkEnd w:id="50"/>
      <w:bookmarkEnd w:id="51"/>
    </w:p>
    <w:p>
      <w:pPr>
        <w:pStyle w:val="3"/>
        <w:rPr>
          <w:rFonts w:cs="Tahoma"/>
          <w:bCs/>
          <w:kern w:val="0"/>
          <w:sz w:val="32"/>
          <w:szCs w:val="32"/>
        </w:rPr>
      </w:pPr>
      <w:bookmarkStart w:id="52" w:name="_Toc17862"/>
      <w:bookmarkStart w:id="53" w:name="_Toc439316871"/>
      <w:bookmarkStart w:id="54" w:name="_Toc54941330"/>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6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9"/>
        <w:gridCol w:w="2073"/>
        <w:gridCol w:w="5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2073"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5998"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2.1</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599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lang w:eastAsia="zh-CN"/>
              </w:rPr>
            </w:pPr>
            <w:r>
              <w:rPr>
                <w:rFonts w:hint="eastAsia"/>
                <w:szCs w:val="21"/>
                <w:lang w:eastAsia="zh-CN"/>
              </w:rPr>
              <w:t>潜山市中医院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2.2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采购代理机构</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cs="宋体"/>
                <w:kern w:val="0"/>
                <w:szCs w:val="21"/>
              </w:rPr>
            </w:pPr>
            <w:r>
              <w:rPr>
                <w:rFonts w:hint="eastAsia" w:ascii="宋体" w:cs="宋体"/>
                <w:kern w:val="0"/>
                <w:szCs w:val="21"/>
              </w:rPr>
              <w:t>安徽泰杰工程咨询有限公司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监督管理部门</w:t>
            </w:r>
          </w:p>
        </w:tc>
        <w:tc>
          <w:tcPr>
            <w:tcW w:w="5998" w:type="dxa"/>
            <w:tcBorders>
              <w:top w:val="single" w:color="auto" w:sz="4" w:space="0"/>
              <w:left w:val="single" w:color="auto" w:sz="4" w:space="0"/>
              <w:bottom w:val="single" w:color="auto" w:sz="4" w:space="0"/>
            </w:tcBorders>
            <w:vAlign w:val="center"/>
          </w:tcPr>
          <w:p>
            <w:pPr>
              <w:spacing w:line="420" w:lineRule="exac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cs="宋体"/>
                <w:kern w:val="0"/>
                <w:szCs w:val="21"/>
                <w:lang w:eastAsia="zh-CN"/>
              </w:rPr>
              <w:t>潜山市中医院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3.1.5</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是否专门面向中小企业采购</w:t>
            </w:r>
          </w:p>
        </w:tc>
        <w:tc>
          <w:tcPr>
            <w:tcW w:w="5998" w:type="dxa"/>
            <w:tcBorders>
              <w:top w:val="single" w:color="auto" w:sz="4" w:space="0"/>
              <w:left w:val="single" w:color="auto" w:sz="4" w:space="0"/>
              <w:bottom w:val="single" w:color="auto" w:sz="4" w:space="0"/>
            </w:tcBorders>
            <w:vAlign w:val="center"/>
          </w:tcPr>
          <w:p>
            <w:pPr>
              <w:numPr>
                <w:ilvl w:val="0"/>
                <w:numId w:val="6"/>
              </w:numPr>
              <w:spacing w:line="420" w:lineRule="exact"/>
              <w:jc w:val="left"/>
              <w:rPr>
                <w:rFonts w:ascii="宋体" w:hAnsi="宋体" w:cs="宋体"/>
                <w:kern w:val="0"/>
                <w:szCs w:val="21"/>
              </w:rPr>
            </w:pPr>
            <w:r>
              <w:rPr>
                <w:rFonts w:hint="eastAsia" w:ascii="宋体" w:hAnsi="宋体" w:cs="宋体"/>
                <w:kern w:val="0"/>
                <w:szCs w:val="21"/>
              </w:rPr>
              <w:t>详见竞争性磋商公告</w:t>
            </w:r>
          </w:p>
          <w:p>
            <w:pPr>
              <w:spacing w:line="480" w:lineRule="exact"/>
              <w:rPr>
                <w:rFonts w:ascii="宋体" w:hAnsi="宋体" w:cs="宋体"/>
                <w:kern w:val="0"/>
                <w:szCs w:val="21"/>
              </w:rPr>
            </w:pPr>
            <w:r>
              <w:rPr>
                <w:rFonts w:hint="eastAsia" w:ascii="宋体" w:hAnsi="宋体" w:cs="宋体"/>
                <w:kern w:val="0"/>
                <w:szCs w:val="21"/>
              </w:rPr>
              <w:t>2、若本项目为专门面向中小企业采购的，如供应商提供的货物非中小企业制造的，其初审不通过。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pPr>
            <w:r>
              <w:rPr>
                <w:rFonts w:hint="eastAsia" w:asciiTheme="majorEastAsia" w:hAnsiTheme="majorEastAsia" w:eastAsiaTheme="majorEastAsia" w:cstheme="majorEastAsia"/>
              </w:rPr>
              <w:t>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ascii="宋体" w:hAnsi="宋体"/>
                <w:szCs w:val="21"/>
              </w:rPr>
              <w:t>现场考察</w:t>
            </w:r>
          </w:p>
        </w:tc>
        <w:tc>
          <w:tcPr>
            <w:tcW w:w="5998" w:type="dxa"/>
            <w:tcBorders>
              <w:top w:val="single" w:color="auto" w:sz="4" w:space="0"/>
              <w:left w:val="single" w:color="auto" w:sz="4" w:space="0"/>
              <w:bottom w:val="single" w:color="auto" w:sz="4" w:space="0"/>
            </w:tcBorders>
            <w:vAlign w:val="center"/>
          </w:tcPr>
          <w:p>
            <w:pPr>
              <w:spacing w:line="500" w:lineRule="exact"/>
              <w:rPr>
                <w:rFonts w:ascii="宋体" w:hAnsi="宋体"/>
                <w:bCs/>
                <w:szCs w:val="21"/>
              </w:rPr>
            </w:pPr>
            <w:r>
              <w:rPr>
                <w:rFonts w:hint="eastAsia" w:ascii="宋体" w:hAnsi="宋体"/>
                <w:szCs w:val="21"/>
              </w:rPr>
              <w:t>☑不组织，响应人</w:t>
            </w:r>
            <w:r>
              <w:rPr>
                <w:rFonts w:hint="eastAsia" w:ascii="宋体" w:hAnsi="宋体"/>
                <w:bCs/>
                <w:szCs w:val="21"/>
              </w:rPr>
              <w:t>自行考察</w:t>
            </w:r>
          </w:p>
          <w:p>
            <w:pPr>
              <w:spacing w:line="500" w:lineRule="exact"/>
              <w:rPr>
                <w:rFonts w:ascii="宋体" w:hAnsi="宋体"/>
                <w:bCs/>
                <w:szCs w:val="21"/>
              </w:rPr>
            </w:pPr>
            <w:r>
              <w:rPr>
                <w:rFonts w:hint="eastAsia" w:ascii="宋体" w:hAnsi="宋体"/>
                <w:szCs w:val="21"/>
              </w:rPr>
              <w:t>□</w:t>
            </w:r>
            <w:r>
              <w:rPr>
                <w:rFonts w:hint="eastAsia" w:ascii="宋体" w:hAnsi="宋体"/>
                <w:bCs/>
                <w:szCs w:val="21"/>
              </w:rPr>
              <w:t>统一组织</w:t>
            </w:r>
          </w:p>
          <w:p>
            <w:pPr>
              <w:spacing w:line="500" w:lineRule="exact"/>
              <w:rPr>
                <w:rFonts w:ascii="宋体" w:hAnsi="宋体"/>
                <w:bCs/>
                <w:szCs w:val="21"/>
                <w:u w:val="single"/>
              </w:rPr>
            </w:pPr>
            <w:r>
              <w:rPr>
                <w:rFonts w:hint="eastAsia" w:ascii="宋体" w:hAnsi="宋体"/>
                <w:bCs/>
                <w:szCs w:val="21"/>
              </w:rPr>
              <w:t>时间：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时</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分</w:t>
            </w:r>
          </w:p>
          <w:p>
            <w:pPr>
              <w:spacing w:line="500" w:lineRule="exact"/>
              <w:rPr>
                <w:rFonts w:ascii="宋体" w:hAnsi="宋体"/>
                <w:bCs/>
                <w:szCs w:val="21"/>
                <w:u w:val="single"/>
              </w:rPr>
            </w:pPr>
            <w:r>
              <w:rPr>
                <w:rFonts w:hint="eastAsia" w:ascii="宋体" w:hAnsi="宋体"/>
                <w:bCs/>
                <w:szCs w:val="21"/>
              </w:rPr>
              <w:t>地点：</w:t>
            </w:r>
            <w:r>
              <w:rPr>
                <w:rFonts w:hint="eastAsia" w:ascii="宋体" w:hAnsi="宋体"/>
                <w:bCs/>
                <w:szCs w:val="21"/>
                <w:u w:val="single"/>
              </w:rPr>
              <w:t xml:space="preserve"> </w:t>
            </w:r>
            <w:r>
              <w:rPr>
                <w:rFonts w:ascii="宋体" w:hAnsi="宋体"/>
                <w:bCs/>
                <w:szCs w:val="21"/>
                <w:u w:val="single"/>
              </w:rPr>
              <w:t xml:space="preserve">                      </w:t>
            </w:r>
          </w:p>
          <w:p>
            <w:pPr>
              <w:spacing w:line="500" w:lineRule="exact"/>
              <w:rPr>
                <w:rFonts w:ascii="宋体" w:hAnsi="宋体"/>
                <w:bCs/>
                <w:szCs w:val="21"/>
                <w:u w:val="single"/>
              </w:rPr>
            </w:pPr>
            <w:r>
              <w:rPr>
                <w:rFonts w:hint="eastAsia" w:ascii="宋体" w:hAnsi="宋体"/>
                <w:bCs/>
                <w:szCs w:val="21"/>
              </w:rPr>
              <w:t>现场考察联系人及联系电话：</w:t>
            </w:r>
            <w:r>
              <w:rPr>
                <w:rFonts w:hint="eastAsia" w:ascii="宋体" w:hAnsi="宋体"/>
                <w:bCs/>
                <w:szCs w:val="21"/>
                <w:u w:val="single"/>
              </w:rPr>
              <w:t xml:space="preserve"> </w:t>
            </w:r>
            <w:r>
              <w:rPr>
                <w:rFonts w:ascii="宋体" w:hAnsi="宋体"/>
                <w:bCs/>
                <w:szCs w:val="21"/>
                <w:u w:val="single"/>
              </w:rPr>
              <w:t xml:space="preserve">          </w:t>
            </w:r>
          </w:p>
          <w:p>
            <w:pPr>
              <w:spacing w:line="480" w:lineRule="exact"/>
              <w:rPr>
                <w:szCs w:val="21"/>
              </w:rPr>
            </w:pPr>
            <w:r>
              <w:rPr>
                <w:rFonts w:hint="eastAsia" w:ascii="宋体" w:hAnsi="宋体"/>
                <w:szCs w:val="21"/>
              </w:rPr>
              <w:t>备注：如响应人未参加采购人统一组织的现场考察，视同放弃现场考察，由此引起的一切责任由响应人自行承担。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10.2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ascii="宋体" w:hAnsi="宋体" w:cs="宋体"/>
                <w:kern w:val="0"/>
                <w:szCs w:val="21"/>
                <w:lang w:bidi="ar"/>
              </w:rPr>
              <w:t>包别划分</w:t>
            </w:r>
          </w:p>
        </w:tc>
        <w:tc>
          <w:tcPr>
            <w:tcW w:w="5998" w:type="dxa"/>
            <w:tcBorders>
              <w:top w:val="single" w:color="auto" w:sz="4" w:space="0"/>
              <w:left w:val="single" w:color="auto" w:sz="4" w:space="0"/>
              <w:bottom w:val="single" w:color="auto" w:sz="4" w:space="0"/>
            </w:tcBorders>
            <w:vAlign w:val="center"/>
          </w:tcPr>
          <w:p>
            <w:pPr>
              <w:widowControl/>
              <w:jc w:val="left"/>
              <w:rPr>
                <w:szCs w:val="21"/>
              </w:rPr>
            </w:pPr>
            <w:r>
              <w:rPr>
                <w:rFonts w:hint="eastAsia" w:ascii="宋体" w:hAnsi="宋体" w:cs="宋体"/>
                <w:szCs w:val="21"/>
              </w:rPr>
              <w:t>☑</w:t>
            </w:r>
            <w:r>
              <w:rPr>
                <w:rFonts w:hint="eastAsia" w:ascii="宋体" w:hAnsi="宋体" w:cs="宋体"/>
                <w:kern w:val="0"/>
                <w:szCs w:val="21"/>
                <w:lang w:bidi="ar"/>
              </w:rPr>
              <w:t xml:space="preserve">不分包 </w:t>
            </w:r>
          </w:p>
          <w:p>
            <w:pPr>
              <w:widowControl/>
              <w:jc w:val="left"/>
              <w:rPr>
                <w:szCs w:val="21"/>
              </w:rPr>
            </w:pPr>
            <w:r>
              <w:rPr>
                <w:rFonts w:ascii="宋体" w:hAnsi="宋体" w:cs="宋体"/>
                <w:szCs w:val="21"/>
              </w:rPr>
              <w:t>□</w:t>
            </w:r>
            <w:r>
              <w:rPr>
                <w:rFonts w:hint="eastAsia" w:ascii="宋体" w:hAnsi="宋体" w:cs="宋体"/>
                <w:kern w:val="0"/>
                <w:szCs w:val="21"/>
                <w:lang w:bidi="ar"/>
              </w:rPr>
              <w:t xml:space="preserve">分为    个包，本次采购第    包 </w:t>
            </w:r>
          </w:p>
          <w:p>
            <w:pPr>
              <w:spacing w:line="480" w:lineRule="exact"/>
              <w:rPr>
                <w:szCs w:val="21"/>
              </w:rPr>
            </w:pPr>
            <w:r>
              <w:rPr>
                <w:rFonts w:hint="eastAsia" w:ascii="宋体" w:hAnsi="宋体" w:cs="宋体"/>
                <w:kern w:val="0"/>
                <w:szCs w:val="21"/>
                <w:lang w:bidi="ar"/>
              </w:rPr>
              <w:t>响应人对多个包进行成交包数规定：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3.1.4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 xml:space="preserve">是否允许采购进口产品 </w:t>
            </w:r>
          </w:p>
        </w:tc>
        <w:tc>
          <w:tcPr>
            <w:tcW w:w="599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ascii="宋体" w:hAnsi="宋体" w:cs="宋体"/>
                <w:szCs w:val="21"/>
              </w:rPr>
              <w:t>□</w:t>
            </w:r>
            <w:r>
              <w:rPr>
                <w:rFonts w:hint="eastAsia"/>
                <w:szCs w:val="21"/>
              </w:rPr>
              <w:t xml:space="preserve">是 </w:t>
            </w:r>
            <w:r>
              <w:rPr>
                <w:szCs w:val="21"/>
              </w:rPr>
              <w:t xml:space="preserve"> </w:t>
            </w:r>
            <w:r>
              <w:rPr>
                <w:rFonts w:hint="eastAsia" w:ascii="宋体" w:hAnsi="宋体" w:cs="宋体"/>
                <w:szCs w:val="21"/>
              </w:rPr>
              <w:t>☑否</w:t>
            </w:r>
            <w:r>
              <w:rPr>
                <w:rFonts w:hint="eastAsia"/>
                <w:szCs w:val="21"/>
              </w:rPr>
              <w:t xml:space="preserve">  ，详见采购需求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trike/>
                <w:szCs w:val="21"/>
              </w:rPr>
            </w:pPr>
            <w:r>
              <w:rPr>
                <w:rFonts w:hint="eastAsia" w:ascii="宋体" w:hAnsi="宋体"/>
                <w:szCs w:val="21"/>
              </w:rPr>
              <w:t>申请人（供应商）资格要求</w:t>
            </w:r>
          </w:p>
        </w:tc>
        <w:tc>
          <w:tcPr>
            <w:tcW w:w="5998" w:type="dxa"/>
            <w:tcBorders>
              <w:top w:val="single" w:color="auto" w:sz="4" w:space="0"/>
              <w:left w:val="single" w:color="auto" w:sz="4" w:space="0"/>
              <w:bottom w:val="single" w:color="auto" w:sz="4" w:space="0"/>
            </w:tcBorders>
            <w:vAlign w:val="center"/>
          </w:tcPr>
          <w:p>
            <w:pPr>
              <w:spacing w:line="420" w:lineRule="exact"/>
              <w:rPr>
                <w:rFonts w:ascii="宋体" w:hAnsi="宋体"/>
                <w:strike/>
                <w:szCs w:val="21"/>
              </w:rPr>
            </w:pPr>
            <w:r>
              <w:rPr>
                <w:rFonts w:hint="eastAsia"/>
                <w:szCs w:val="21"/>
              </w:rPr>
              <w:t>详见竞争性磋商公告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19</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13</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180</w:t>
            </w:r>
            <w:r>
              <w:rPr>
                <w:rFonts w:ascii="宋体" w:hAnsi="宋体"/>
                <w:szCs w:val="21"/>
              </w:rPr>
              <w:t>日历天</w:t>
            </w:r>
            <w:r>
              <w:rPr>
                <w:rFonts w:hint="eastAsia" w:ascii="宋体" w:hAnsi="宋体"/>
                <w:szCs w:val="21"/>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14.1</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b/>
                <w:kern w:val="0"/>
              </w:rPr>
              <w:t>投标文件份数及装订要求</w:t>
            </w:r>
          </w:p>
        </w:tc>
        <w:tc>
          <w:tcPr>
            <w:tcW w:w="5998"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b/>
                <w:szCs w:val="21"/>
              </w:rPr>
            </w:pPr>
            <w:r>
              <w:rPr>
                <w:rFonts w:ascii="宋体" w:hAnsi="宋体" w:cs="宋体"/>
                <w:b/>
                <w:szCs w:val="21"/>
              </w:rPr>
              <w:fldChar w:fldCharType="begin"/>
            </w:r>
            <w:r>
              <w:rPr>
                <w:rFonts w:ascii="宋体" w:hAnsi="宋体" w:cs="宋体"/>
                <w:b/>
                <w:szCs w:val="21"/>
              </w:rPr>
              <w:instrText xml:space="preserve"> </w:instrText>
            </w:r>
            <w:r>
              <w:rPr>
                <w:rFonts w:hint="eastAsia" w:ascii="宋体" w:hAnsi="宋体" w:cs="宋体"/>
                <w:b/>
                <w:szCs w:val="21"/>
              </w:rPr>
              <w:instrText xml:space="preserve">eq \o\ac(○,1)</w:instrText>
            </w:r>
            <w:r>
              <w:rPr>
                <w:rFonts w:ascii="宋体" w:hAnsi="宋体" w:cs="宋体"/>
                <w:b/>
                <w:szCs w:val="21"/>
              </w:rPr>
              <w:fldChar w:fldCharType="end"/>
            </w:r>
            <w:r>
              <w:rPr>
                <w:rFonts w:hint="eastAsia" w:ascii="宋体" w:hAnsi="宋体" w:cs="宋体"/>
                <w:b/>
                <w:szCs w:val="21"/>
              </w:rPr>
              <w:t>磋商文件份数：正本壹份，副本叁份</w:t>
            </w:r>
          </w:p>
          <w:p>
            <w:pPr>
              <w:autoSpaceDE w:val="0"/>
              <w:autoSpaceDN w:val="0"/>
              <w:adjustRightInd w:val="0"/>
              <w:spacing w:line="440" w:lineRule="exact"/>
              <w:rPr>
                <w:rFonts w:ascii="宋体" w:hAnsi="宋体" w:cs="宋体"/>
                <w:szCs w:val="21"/>
              </w:rPr>
            </w:pPr>
            <w:r>
              <w:rPr>
                <w:rFonts w:ascii="宋体" w:hAnsi="宋体" w:cs="宋体"/>
                <w:szCs w:val="21"/>
              </w:rPr>
              <w:t>装订要求：</w:t>
            </w:r>
          </w:p>
          <w:p>
            <w:pPr>
              <w:autoSpaceDE w:val="0"/>
              <w:autoSpaceDN w:val="0"/>
              <w:adjustRightInd w:val="0"/>
              <w:spacing w:line="440" w:lineRule="exact"/>
              <w:ind w:leftChars="-4" w:hanging="8" w:hangingChars="4"/>
              <w:rPr>
                <w:rFonts w:ascii="宋体" w:hAnsi="宋体" w:cs="宋体"/>
                <w:szCs w:val="21"/>
              </w:rPr>
            </w:pPr>
            <w:r>
              <w:rPr>
                <w:rFonts w:hint="eastAsia" w:ascii="宋体" w:hAnsi="宋体" w:cs="宋体"/>
                <w:szCs w:val="21"/>
              </w:rPr>
              <w:t>√</w:t>
            </w:r>
            <w:r>
              <w:rPr>
                <w:rFonts w:ascii="宋体" w:hAnsi="宋体" w:cs="宋体"/>
                <w:szCs w:val="21"/>
              </w:rPr>
              <w:t>□不分册装订（</w:t>
            </w:r>
            <w:r>
              <w:rPr>
                <w:rFonts w:hint="eastAsia" w:ascii="宋体" w:hAnsi="宋体" w:cs="宋体"/>
                <w:b/>
                <w:szCs w:val="21"/>
              </w:rPr>
              <w:t>须</w:t>
            </w:r>
            <w:r>
              <w:rPr>
                <w:rFonts w:ascii="宋体" w:hAnsi="宋体" w:cs="宋体"/>
                <w:b/>
                <w:szCs w:val="21"/>
              </w:rPr>
              <w:t>在</w:t>
            </w:r>
            <w:r>
              <w:rPr>
                <w:rFonts w:hint="eastAsia" w:ascii="宋体" w:hAnsi="宋体" w:cs="宋体"/>
                <w:b/>
                <w:szCs w:val="21"/>
              </w:rPr>
              <w:t>磋商</w:t>
            </w:r>
            <w:r>
              <w:rPr>
                <w:rFonts w:ascii="宋体" w:hAnsi="宋体" w:cs="宋体"/>
                <w:b/>
                <w:szCs w:val="21"/>
              </w:rPr>
              <w:t>文件商务标</w:t>
            </w:r>
            <w:r>
              <w:rPr>
                <w:rFonts w:hint="eastAsia" w:ascii="宋体" w:hAnsi="宋体" w:cs="宋体"/>
                <w:b/>
                <w:szCs w:val="21"/>
              </w:rPr>
              <w:t>封面分别相应地</w:t>
            </w:r>
            <w:r>
              <w:rPr>
                <w:rFonts w:ascii="宋体" w:hAnsi="宋体" w:cs="宋体"/>
                <w:b/>
                <w:szCs w:val="21"/>
              </w:rPr>
              <w:t>标注</w:t>
            </w:r>
            <w:r>
              <w:rPr>
                <w:rFonts w:hint="eastAsia" w:ascii="宋体" w:hAnsi="宋体" w:cs="宋体"/>
                <w:b/>
                <w:szCs w:val="21"/>
              </w:rPr>
              <w:t>“</w:t>
            </w:r>
            <w:r>
              <w:rPr>
                <w:rFonts w:ascii="宋体" w:hAnsi="宋体" w:cs="宋体"/>
                <w:b/>
                <w:szCs w:val="21"/>
              </w:rPr>
              <w:t>正</w:t>
            </w:r>
            <w:r>
              <w:rPr>
                <w:rFonts w:hint="eastAsia" w:ascii="宋体" w:hAnsi="宋体" w:cs="宋体"/>
                <w:b/>
                <w:szCs w:val="21"/>
              </w:rPr>
              <w:t>本”或“</w:t>
            </w:r>
            <w:r>
              <w:rPr>
                <w:rFonts w:ascii="宋体" w:hAnsi="宋体" w:cs="宋体"/>
                <w:b/>
                <w:szCs w:val="21"/>
              </w:rPr>
              <w:t>副本</w:t>
            </w:r>
            <w:r>
              <w:rPr>
                <w:rFonts w:hint="eastAsia" w:ascii="宋体" w:hAnsi="宋体" w:cs="宋体"/>
                <w:b/>
                <w:szCs w:val="21"/>
              </w:rPr>
              <w:t>”</w:t>
            </w:r>
            <w:r>
              <w:rPr>
                <w:rFonts w:ascii="宋体" w:hAnsi="宋体" w:cs="宋体"/>
                <w:szCs w:val="21"/>
              </w:rPr>
              <w:t>字样）</w:t>
            </w:r>
          </w:p>
          <w:p>
            <w:pPr>
              <w:autoSpaceDE w:val="0"/>
              <w:autoSpaceDN w:val="0"/>
              <w:adjustRightInd w:val="0"/>
              <w:spacing w:line="440" w:lineRule="exact"/>
              <w:ind w:firstLine="222" w:firstLineChars="106"/>
              <w:rPr>
                <w:rFonts w:ascii="宋体" w:hAnsi="宋体" w:cs="宋体"/>
                <w:szCs w:val="21"/>
              </w:rPr>
            </w:pPr>
            <w:r>
              <w:rPr>
                <w:rFonts w:ascii="宋体" w:hAnsi="宋体" w:cs="宋体"/>
                <w:szCs w:val="21"/>
              </w:rPr>
              <w:t>□分册装订，共分</w:t>
            </w:r>
            <w:r>
              <w:rPr>
                <w:rFonts w:hint="eastAsia" w:ascii="宋体" w:hAnsi="宋体" w:cs="宋体"/>
                <w:szCs w:val="21"/>
              </w:rPr>
              <w:t>　册</w:t>
            </w:r>
            <w:r>
              <w:rPr>
                <w:rFonts w:ascii="宋体" w:hAnsi="宋体" w:cs="宋体"/>
                <w:szCs w:val="21"/>
              </w:rPr>
              <w:t>，分别为：</w:t>
            </w:r>
          </w:p>
          <w:p>
            <w:pPr>
              <w:spacing w:line="360" w:lineRule="auto"/>
              <w:ind w:left="360"/>
              <w:rPr>
                <w:rFonts w:ascii="宋体" w:hAnsi="宋体" w:cs="宋体"/>
                <w:szCs w:val="21"/>
              </w:rPr>
            </w:pPr>
            <w:r>
              <w:rPr>
                <w:rFonts w:ascii="宋体" w:hAnsi="宋体" w:cs="宋体"/>
                <w:szCs w:val="21"/>
              </w:rPr>
              <w:t>采用</w:t>
            </w:r>
            <w:r>
              <w:rPr>
                <w:rFonts w:hint="eastAsia" w:ascii="宋体" w:hAnsi="宋体" w:cs="宋体"/>
                <w:szCs w:val="21"/>
              </w:rPr>
              <w:t>固定</w:t>
            </w:r>
            <w:r>
              <w:rPr>
                <w:rFonts w:ascii="宋体" w:hAnsi="宋体" w:cs="宋体"/>
                <w:szCs w:val="21"/>
              </w:rPr>
              <w:t>方式装订，装订应牢固、不易拆散和换页，不得采用活页装订</w:t>
            </w:r>
          </w:p>
          <w:p>
            <w:pPr>
              <w:spacing w:line="440" w:lineRule="exact"/>
              <w:rPr>
                <w:rFonts w:ascii="宋体" w:hAnsi="宋体" w:cs="宋体"/>
                <w:kern w:val="0"/>
                <w:szCs w:val="21"/>
              </w:rPr>
            </w:pPr>
            <w:r>
              <w:rPr>
                <w:rFonts w:ascii="宋体" w:hAnsi="宋体" w:cs="宋体"/>
                <w:b/>
                <w:szCs w:val="21"/>
              </w:rPr>
              <w:fldChar w:fldCharType="begin"/>
            </w:r>
            <w:r>
              <w:rPr>
                <w:rFonts w:ascii="宋体" w:hAnsi="宋体" w:cs="宋体"/>
                <w:b/>
                <w:szCs w:val="21"/>
              </w:rPr>
              <w:instrText xml:space="preserve"> </w:instrText>
            </w:r>
            <w:r>
              <w:rPr>
                <w:rFonts w:hint="eastAsia" w:ascii="宋体" w:hAnsi="宋体" w:cs="宋体"/>
                <w:b/>
                <w:szCs w:val="21"/>
              </w:rPr>
              <w:instrText xml:space="preserve">eq \o\ac(○,2)</w:instrText>
            </w:r>
            <w:r>
              <w:rPr>
                <w:rFonts w:ascii="宋体" w:hAnsi="宋体" w:cs="宋体"/>
                <w:b/>
                <w:szCs w:val="21"/>
              </w:rPr>
              <w:fldChar w:fldCharType="end"/>
            </w:r>
            <w:r>
              <w:rPr>
                <w:rFonts w:hint="eastAsia" w:ascii="宋体" w:hAnsi="宋体" w:cs="宋体"/>
                <w:b/>
                <w:szCs w:val="21"/>
              </w:rPr>
              <w:t>磋商文件须装在一密封袋内，密封袋应密封，并在密封袋上注明项目编号、项目名称、投标人名称同时加盖投标人公章。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14.2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szCs w:val="21"/>
              </w:rPr>
            </w:pPr>
            <w:r>
              <w:rPr>
                <w:rFonts w:hint="eastAsia" w:ascii="宋体" w:hAnsi="宋体"/>
                <w:szCs w:val="21"/>
              </w:rPr>
              <w:t>响应文件提交、解密</w:t>
            </w:r>
          </w:p>
        </w:tc>
        <w:tc>
          <w:tcPr>
            <w:tcW w:w="5998" w:type="dxa"/>
            <w:tcBorders>
              <w:top w:val="single" w:color="auto" w:sz="4" w:space="0"/>
              <w:left w:val="single" w:color="auto" w:sz="4" w:space="0"/>
              <w:bottom w:val="single" w:color="auto" w:sz="4" w:space="0"/>
            </w:tcBorders>
            <w:vAlign w:val="center"/>
          </w:tcPr>
          <w:p>
            <w:pPr>
              <w:pStyle w:val="22"/>
              <w:widowControl/>
              <w:spacing w:line="420" w:lineRule="exact"/>
              <w:jc w:val="both"/>
              <w:rPr>
                <w:rFonts w:ascii="宋体" w:hAnsi="宋体"/>
                <w:sz w:val="21"/>
                <w:szCs w:val="21"/>
              </w:rPr>
            </w:pPr>
            <w:r>
              <w:rPr>
                <w:rFonts w:hint="eastAsia" w:ascii="宋体" w:hAnsi="宋体"/>
                <w:sz w:val="21"/>
                <w:szCs w:val="21"/>
              </w:rPr>
              <w:t>1、投标截止时间：</w:t>
            </w:r>
            <w:r>
              <w:rPr>
                <w:rFonts w:hint="eastAsia" w:ascii="宋体" w:hAnsi="宋体" w:cs="宋体"/>
                <w:b/>
                <w:sz w:val="22"/>
                <w:u w:val="single"/>
              </w:rPr>
              <w:t>2024年</w:t>
            </w:r>
            <w:r>
              <w:rPr>
                <w:rFonts w:hint="eastAsia" w:ascii="宋体" w:hAnsi="宋体" w:cs="宋体"/>
                <w:b/>
                <w:sz w:val="22"/>
                <w:u w:val="single"/>
                <w:lang w:val="en-US" w:eastAsia="zh-CN"/>
              </w:rPr>
              <w:t>4月29日15</w:t>
            </w:r>
            <w:r>
              <w:rPr>
                <w:rFonts w:hint="eastAsia" w:ascii="宋体" w:hAnsi="宋体" w:cs="宋体"/>
                <w:b/>
                <w:sz w:val="22"/>
                <w:u w:val="single"/>
              </w:rPr>
              <w:t>时</w:t>
            </w:r>
            <w:r>
              <w:rPr>
                <w:rFonts w:hint="eastAsia" w:ascii="宋体" w:hAnsi="宋体" w:cs="宋体"/>
                <w:b/>
                <w:sz w:val="22"/>
                <w:u w:val="single"/>
                <w:lang w:val="en-US" w:eastAsia="zh-CN"/>
              </w:rPr>
              <w:t>00</w:t>
            </w:r>
            <w:r>
              <w:rPr>
                <w:rFonts w:hint="eastAsia" w:ascii="宋体" w:hAnsi="宋体" w:cs="宋体"/>
                <w:b/>
                <w:sz w:val="22"/>
                <w:u w:val="single"/>
              </w:rPr>
              <w:t>分</w:t>
            </w:r>
            <w:r>
              <w:rPr>
                <w:rFonts w:hint="eastAsia" w:ascii="宋体" w:hAnsi="宋体"/>
                <w:bCs/>
                <w:sz w:val="21"/>
                <w:szCs w:val="21"/>
              </w:rPr>
              <w:t>（北京时间）</w:t>
            </w:r>
          </w:p>
          <w:p>
            <w:pPr>
              <w:pStyle w:val="55"/>
              <w:spacing w:line="480" w:lineRule="atLeast"/>
              <w:ind w:right="150"/>
              <w:jc w:val="both"/>
              <w:rPr>
                <w:rFonts w:hint="eastAsia" w:ascii="宋体" w:hAnsi="宋体" w:eastAsia="宋体" w:cs="宋体"/>
                <w:b/>
                <w:kern w:val="2"/>
                <w:sz w:val="22"/>
                <w:szCs w:val="20"/>
                <w:lang w:val="en-US" w:eastAsia="zh-CN" w:bidi="ar-SA"/>
              </w:rPr>
            </w:pPr>
            <w:r>
              <w:rPr>
                <w:rFonts w:hint="eastAsia" w:ascii="宋体" w:hAnsi="宋体" w:eastAsia="宋体" w:cs="宋体"/>
                <w:b/>
                <w:kern w:val="2"/>
                <w:sz w:val="22"/>
                <w:szCs w:val="20"/>
                <w:lang w:val="en-US" w:eastAsia="zh-CN" w:bidi="ar-SA"/>
              </w:rPr>
              <w:t>2、响应文件提交方式：采购人邀请所有参与本次竞争性磋商的供应商代表参加竞争性磋商会议，也可以以不见面的方式参加。</w:t>
            </w:r>
          </w:p>
          <w:p>
            <w:pPr>
              <w:pStyle w:val="22"/>
              <w:widowControl/>
              <w:spacing w:line="420" w:lineRule="exact"/>
              <w:jc w:val="both"/>
              <w:rPr>
                <w:rFonts w:ascii="宋体" w:hAnsi="宋体" w:cs="宋体"/>
                <w:b/>
                <w:sz w:val="22"/>
              </w:rPr>
            </w:pPr>
            <w:r>
              <w:rPr>
                <w:rFonts w:ascii="宋体" w:hAnsi="宋体" w:cs="宋体"/>
                <w:b/>
                <w:sz w:val="22"/>
              </w:rPr>
              <w:t>①</w:t>
            </w:r>
            <w:r>
              <w:rPr>
                <w:rFonts w:hint="eastAsia" w:ascii="宋体" w:hAnsi="宋体" w:cs="宋体"/>
                <w:b/>
                <w:sz w:val="22"/>
              </w:rPr>
              <w:t xml:space="preserve">现场提交： </w:t>
            </w:r>
          </w:p>
          <w:p>
            <w:pPr>
              <w:pStyle w:val="22"/>
              <w:widowControl/>
              <w:spacing w:line="420" w:lineRule="exact"/>
              <w:jc w:val="both"/>
              <w:rPr>
                <w:rFonts w:ascii="宋体" w:hAnsi="宋体" w:cs="宋体"/>
                <w:b/>
                <w:sz w:val="22"/>
              </w:rPr>
            </w:pPr>
            <w:r>
              <w:rPr>
                <w:rFonts w:hint="eastAsia" w:ascii="宋体" w:hAnsi="宋体" w:cs="宋体"/>
                <w:b/>
                <w:sz w:val="22"/>
              </w:rPr>
              <w:t>若法定代表人参加开标会议的，须提交法定代表人身份证明书；</w:t>
            </w:r>
          </w:p>
          <w:p>
            <w:pPr>
              <w:pStyle w:val="22"/>
              <w:widowControl/>
              <w:spacing w:line="420" w:lineRule="exact"/>
              <w:jc w:val="both"/>
              <w:rPr>
                <w:rFonts w:ascii="宋体" w:hAnsi="宋体" w:cs="宋体"/>
                <w:b/>
                <w:sz w:val="22"/>
              </w:rPr>
            </w:pPr>
            <w:r>
              <w:rPr>
                <w:rFonts w:hint="eastAsia" w:ascii="宋体" w:hAnsi="宋体" w:cs="宋体"/>
                <w:b/>
                <w:sz w:val="22"/>
              </w:rPr>
              <w:t>若授权委托人参加开标会议的，须提交法定代表人授权委托书。</w:t>
            </w:r>
          </w:p>
          <w:p>
            <w:pPr>
              <w:pStyle w:val="22"/>
              <w:widowControl/>
              <w:spacing w:line="420" w:lineRule="exact"/>
              <w:jc w:val="both"/>
              <w:rPr>
                <w:rFonts w:ascii="宋体" w:hAnsi="宋体" w:cs="宋体"/>
                <w:b/>
                <w:sz w:val="22"/>
              </w:rPr>
            </w:pPr>
            <w:r>
              <w:rPr>
                <w:rFonts w:ascii="宋体" w:hAnsi="宋体" w:cs="宋体"/>
                <w:b/>
                <w:sz w:val="22"/>
              </w:rPr>
              <w:t>②</w:t>
            </w:r>
            <w:r>
              <w:rPr>
                <w:rFonts w:hint="eastAsia" w:ascii="宋体" w:hAnsi="宋体" w:cs="宋体"/>
                <w:b/>
                <w:sz w:val="22"/>
              </w:rPr>
              <w:t>不见面方式提交：</w:t>
            </w:r>
          </w:p>
          <w:p>
            <w:pPr>
              <w:pStyle w:val="22"/>
              <w:widowControl/>
              <w:spacing w:line="420" w:lineRule="exact"/>
              <w:jc w:val="both"/>
              <w:rPr>
                <w:rFonts w:ascii="宋体" w:hAnsi="宋体" w:cs="宋体"/>
                <w:b/>
                <w:sz w:val="22"/>
              </w:rPr>
            </w:pPr>
            <w:r>
              <w:rPr>
                <w:rFonts w:hint="eastAsia" w:ascii="宋体" w:hAnsi="宋体" w:cs="宋体"/>
                <w:b/>
                <w:sz w:val="22"/>
              </w:rPr>
              <w:t>a、 邮寄地址：潜山市开发区八一大道与三合路交叉口1幢1号</w:t>
            </w:r>
          </w:p>
          <w:p>
            <w:pPr>
              <w:pStyle w:val="22"/>
              <w:widowControl/>
              <w:spacing w:line="420" w:lineRule="exact"/>
              <w:jc w:val="both"/>
              <w:rPr>
                <w:rFonts w:ascii="宋体"/>
                <w:szCs w:val="21"/>
              </w:rPr>
            </w:pPr>
            <w:r>
              <w:rPr>
                <w:rFonts w:hint="eastAsia" w:ascii="宋体" w:hAnsi="宋体" w:cs="宋体"/>
                <w:b/>
                <w:sz w:val="22"/>
              </w:rPr>
              <w:t>b、以本代理机构工作人员实际签收邮件时间为准。（在邮寄过程中出现任何形式的邮件丢失、损坏等一系列问题，由潜在供应商自行负责。）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29.1</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5998"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本次招标公告在安徽泰杰工程咨询有限公司（http://www.ahtaijie.com/）网站发布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17</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b/>
                <w:bCs/>
                <w:szCs w:val="21"/>
              </w:rPr>
              <w:t>详见竞争性磋商公告（同响应文件提交截止时间）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21.2</w:t>
            </w:r>
          </w:p>
        </w:tc>
        <w:tc>
          <w:tcPr>
            <w:tcW w:w="2073"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24.</w:t>
            </w:r>
            <w:r>
              <w:rPr>
                <w:rFonts w:ascii="宋体" w:hAnsi="宋体"/>
                <w:szCs w:val="21"/>
              </w:rPr>
              <w:t>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响应最后报价扣除（非专门面向中小企业采购项目适用）</w:t>
            </w:r>
          </w:p>
        </w:tc>
        <w:tc>
          <w:tcPr>
            <w:tcW w:w="5998"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hint="eastAsia" w:ascii="宋体" w:hAnsi="宋体"/>
                <w:szCs w:val="21"/>
              </w:rPr>
              <w:t xml:space="preserve">（1）小型和微型企业价格扣除：10 %。 </w:t>
            </w:r>
          </w:p>
          <w:p>
            <w:pPr>
              <w:spacing w:line="420" w:lineRule="exact"/>
              <w:jc w:val="left"/>
              <w:rPr>
                <w:rFonts w:ascii="宋体" w:hAnsi="宋体"/>
                <w:szCs w:val="21"/>
              </w:rPr>
            </w:pPr>
            <w:r>
              <w:rPr>
                <w:rFonts w:hint="eastAsia" w:ascii="宋体" w:hAnsi="宋体"/>
                <w:szCs w:val="21"/>
              </w:rPr>
              <w:t>（2）监狱企业价格扣除:同小型和微型企业。</w:t>
            </w:r>
          </w:p>
          <w:p>
            <w:pPr>
              <w:spacing w:line="420" w:lineRule="exact"/>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）残疾人福利性单位价格扣除：同小型和微型企业。</w:t>
            </w:r>
          </w:p>
          <w:p>
            <w:pPr>
              <w:spacing w:line="420" w:lineRule="exact"/>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）符合条件的联合体价格扣除:4%（本项目不采用）。</w:t>
            </w:r>
          </w:p>
          <w:p>
            <w:pPr>
              <w:spacing w:line="420" w:lineRule="exact"/>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）符合条件的向小微企业分包的大中型企业价格扣除:4%（本项目不采用）。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26.1</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hint="eastAsia" w:ascii="宋体" w:hAnsi="宋体"/>
                <w:szCs w:val="21"/>
              </w:rPr>
              <w:t xml:space="preserve">确定成交候选供应商和成交供应商 </w:t>
            </w:r>
          </w:p>
        </w:tc>
        <w:tc>
          <w:tcPr>
            <w:tcW w:w="5998"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hint="eastAsia" w:ascii="宋体" w:hAnsi="宋体"/>
                <w:szCs w:val="21"/>
              </w:rPr>
              <w:t>磋商小组推荐成交候选供应商的数量：3家 (注：法律、法规另有规定的，从其规定)</w:t>
            </w:r>
          </w:p>
          <w:p>
            <w:pPr>
              <w:spacing w:line="420" w:lineRule="exact"/>
              <w:jc w:val="left"/>
              <w:rPr>
                <w:rFonts w:ascii="宋体" w:hAnsi="宋体"/>
                <w:szCs w:val="21"/>
              </w:rPr>
            </w:pPr>
            <w:r>
              <w:rPr>
                <w:rFonts w:hint="eastAsia" w:ascii="宋体" w:hAnsi="宋体"/>
                <w:szCs w:val="21"/>
              </w:rPr>
              <w:t>确定成交供应商： </w:t>
            </w:r>
          </w:p>
          <w:p>
            <w:pPr>
              <w:spacing w:line="420" w:lineRule="exact"/>
              <w:jc w:val="left"/>
              <w:rPr>
                <w:rFonts w:ascii="宋体" w:hAnsi="宋体"/>
                <w:szCs w:val="21"/>
              </w:rPr>
            </w:pPr>
            <w:r>
              <w:rPr>
                <w:rFonts w:ascii="宋体" w:hAnsi="宋体" w:cs="宋体"/>
                <w:szCs w:val="21"/>
              </w:rPr>
              <w:t>□</w:t>
            </w:r>
            <w:r>
              <w:rPr>
                <w:rFonts w:hint="eastAsia" w:ascii="宋体" w:hAnsi="宋体"/>
                <w:szCs w:val="21"/>
              </w:rPr>
              <w:t xml:space="preserve">采购人委托磋商小组确定 </w:t>
            </w:r>
          </w:p>
          <w:p>
            <w:pPr>
              <w:widowControl/>
              <w:jc w:val="left"/>
              <w:rPr>
                <w:rFonts w:ascii="宋体" w:hAnsi="宋体"/>
                <w:szCs w:val="21"/>
              </w:rPr>
            </w:pPr>
            <w:r>
              <w:rPr>
                <w:rFonts w:hint="eastAsia" w:ascii="宋体" w:hAnsi="宋体" w:cs="宋体"/>
                <w:szCs w:val="21"/>
              </w:rPr>
              <w:t>☑</w:t>
            </w:r>
            <w:r>
              <w:rPr>
                <w:rFonts w:hint="eastAsia" w:ascii="宋体" w:hAnsi="宋体"/>
                <w:szCs w:val="21"/>
              </w:rPr>
              <w:t>采购人确定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30.1</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成交通知书发出的形式</w:t>
            </w:r>
          </w:p>
        </w:tc>
        <w:tc>
          <w:tcPr>
            <w:tcW w:w="5998"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ascii="宋体" w:hAnsi="宋体" w:cs="宋体"/>
                <w:szCs w:val="21"/>
              </w:rPr>
              <w:t>□</w:t>
            </w:r>
            <w:r>
              <w:rPr>
                <w:rFonts w:hint="eastAsia" w:ascii="宋体" w:hAnsi="宋体"/>
                <w:szCs w:val="21"/>
              </w:rPr>
              <w:t xml:space="preserve">书面   </w:t>
            </w:r>
            <w:r>
              <w:rPr>
                <w:rFonts w:hint="eastAsia" w:ascii="宋体" w:hAnsi="宋体" w:cs="宋体"/>
                <w:szCs w:val="21"/>
              </w:rPr>
              <w:t>☑</w:t>
            </w:r>
            <w:r>
              <w:rPr>
                <w:rFonts w:hint="eastAsia" w:ascii="宋体" w:hAnsi="宋体"/>
                <w:szCs w:val="21"/>
              </w:rPr>
              <w:t xml:space="preserve">数据电文 </w:t>
            </w:r>
          </w:p>
          <w:p>
            <w:pPr>
              <w:spacing w:line="420" w:lineRule="exact"/>
              <w:rPr>
                <w:rFonts w:ascii="宋体" w:hAnsi="宋体"/>
                <w:szCs w:val="21"/>
              </w:rPr>
            </w:pPr>
            <w:r>
              <w:rPr>
                <w:rFonts w:hint="eastAsia" w:ascii="宋体" w:hAnsi="宋体"/>
                <w:szCs w:val="21"/>
              </w:rPr>
              <w:t>特别提醒：本项目发布成交结果公告的同时，通过电子邮箱系统向成交人发出成交通知书。成交通知书发出视为已送达，供应商应主动登录电子邮箱系统查询，采购代理机构不承担响应人未及时关注相关信息引发的相关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29.2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随成交结果公告同时公告的成交供应商的响应文件内容</w:t>
            </w:r>
          </w:p>
        </w:tc>
        <w:tc>
          <w:tcPr>
            <w:tcW w:w="5998"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（1）中小企业声明函；（如有）</w:t>
            </w:r>
          </w:p>
          <w:p>
            <w:pPr>
              <w:spacing w:line="420" w:lineRule="exact"/>
            </w:pPr>
            <w:r>
              <w:rPr>
                <w:rFonts w:hint="eastAsia"/>
              </w:rPr>
              <w:t>（2）残疾人福利性单位声明函；（如有）</w:t>
            </w:r>
          </w:p>
          <w:p>
            <w:pPr>
              <w:spacing w:line="420" w:lineRule="exact"/>
            </w:pPr>
            <w:r>
              <w:rPr>
                <w:rFonts w:hint="eastAsia"/>
              </w:rPr>
              <w:t>（3）业绩、奖项、证书等有关证明资料；（如有）</w:t>
            </w:r>
          </w:p>
          <w:p>
            <w:pPr>
              <w:spacing w:line="420" w:lineRule="exact"/>
            </w:pPr>
            <w:r>
              <w:rPr>
                <w:rFonts w:hint="eastAsia"/>
              </w:rPr>
              <w:t>（4）磋商文件中规定进行公示的其他内容。（如有）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vMerge w:val="restart"/>
            <w:tcBorders>
              <w:top w:val="single" w:color="auto" w:sz="4" w:space="0"/>
              <w:right w:val="single" w:color="auto" w:sz="4" w:space="0"/>
            </w:tcBorders>
            <w:vAlign w:val="center"/>
          </w:tcPr>
          <w:p>
            <w:pPr>
              <w:spacing w:line="480" w:lineRule="exact"/>
              <w:jc w:val="center"/>
              <w:rPr>
                <w:rFonts w:ascii="宋体"/>
                <w:szCs w:val="21"/>
              </w:rPr>
            </w:pPr>
          </w:p>
          <w:p>
            <w:pPr>
              <w:spacing w:line="480" w:lineRule="exact"/>
              <w:jc w:val="center"/>
              <w:rPr>
                <w:rFonts w:ascii="宋体"/>
                <w:szCs w:val="21"/>
              </w:rPr>
            </w:pPr>
          </w:p>
          <w:p>
            <w:pPr>
              <w:spacing w:line="480" w:lineRule="exact"/>
              <w:jc w:val="center"/>
              <w:rPr>
                <w:rFonts w:ascii="宋体"/>
                <w:szCs w:val="21"/>
              </w:rPr>
            </w:pPr>
            <w:r>
              <w:rPr>
                <w:rFonts w:hint="eastAsia" w:ascii="宋体"/>
                <w:szCs w:val="21"/>
              </w:rPr>
              <w:t>32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磋商保证金</w:t>
            </w:r>
          </w:p>
        </w:tc>
        <w:tc>
          <w:tcPr>
            <w:tcW w:w="5998" w:type="dxa"/>
            <w:tcBorders>
              <w:top w:val="single" w:color="auto" w:sz="4" w:space="0"/>
              <w:left w:val="single" w:color="auto" w:sz="4" w:space="0"/>
              <w:bottom w:val="single" w:color="auto" w:sz="4" w:space="0"/>
            </w:tcBorders>
            <w:vAlign w:val="center"/>
          </w:tcPr>
          <w:p>
            <w:pPr>
              <w:spacing w:line="420" w:lineRule="exact"/>
              <w:rPr>
                <w:rFonts w:ascii="宋体" w:hAns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vMerge w:val="continue"/>
            <w:tcBorders>
              <w:bottom w:val="single" w:color="auto" w:sz="4" w:space="0"/>
              <w:right w:val="single" w:color="auto" w:sz="4" w:space="0"/>
            </w:tcBorders>
            <w:vAlign w:val="center"/>
          </w:tcPr>
          <w:p>
            <w:pPr>
              <w:spacing w:line="480" w:lineRule="exact"/>
              <w:jc w:val="center"/>
              <w:rPr>
                <w:rFonts w:ascii="宋体"/>
                <w:szCs w:val="21"/>
              </w:rPr>
            </w:pP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color w:val="000000" w:themeColor="text1"/>
                <w:szCs w:val="21"/>
                <w14:textFill>
                  <w14:solidFill>
                    <w14:schemeClr w14:val="tx1"/>
                  </w14:solidFill>
                </w14:textFill>
              </w:rPr>
              <w:t>履约保证金</w:t>
            </w:r>
          </w:p>
        </w:tc>
        <w:tc>
          <w:tcPr>
            <w:tcW w:w="5998" w:type="dxa"/>
            <w:tcBorders>
              <w:top w:val="single" w:color="auto" w:sz="4" w:space="0"/>
              <w:left w:val="single" w:color="auto" w:sz="4" w:space="0"/>
              <w:bottom w:val="single" w:color="auto" w:sz="4" w:space="0"/>
            </w:tcBorders>
            <w:vAlign w:val="center"/>
          </w:tcPr>
          <w:p>
            <w:pPr>
              <w:spacing w:line="340" w:lineRule="exact"/>
              <w:rPr>
                <w:rFonts w:ascii="宋体" w:hAnsi="宋体" w:cs="宋体"/>
                <w:b/>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14"/>
                <w:szCs w:val="21"/>
              </w:rPr>
              <w:instrText xml:space="preserve">1</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cs="宋体"/>
                <w:szCs w:val="21"/>
              </w:rPr>
              <w:t>担保方式：</w:t>
            </w:r>
            <w:r>
              <w:rPr>
                <w:rFonts w:hint="eastAsia" w:ascii="宋体" w:hAnsi="宋体" w:cs="宋体"/>
                <w:b/>
                <w:szCs w:val="21"/>
                <w:bdr w:val="single" w:color="auto" w:sz="4" w:space="0"/>
              </w:rPr>
              <w:t>√</w:t>
            </w:r>
            <w:r>
              <w:rPr>
                <w:rFonts w:hint="eastAsia" w:ascii="宋体" w:hAnsi="宋体" w:cs="宋体"/>
                <w:b/>
                <w:szCs w:val="21"/>
              </w:rPr>
              <w:t>银行转账</w:t>
            </w:r>
          </w:p>
          <w:p>
            <w:pPr>
              <w:spacing w:line="340" w:lineRule="exact"/>
              <w:rPr>
                <w:rFonts w:ascii="宋体" w:hAnsi="宋体" w:cs="宋体"/>
                <w:b/>
                <w:szCs w:val="21"/>
              </w:rPr>
            </w:pPr>
            <w:r>
              <w:rPr>
                <w:rFonts w:hint="eastAsia" w:ascii="宋体" w:hAnsi="宋体" w:cs="宋体"/>
                <w:szCs w:val="21"/>
              </w:rPr>
              <w:t>②担保数额：</w:t>
            </w:r>
            <w:r>
              <w:rPr>
                <w:rFonts w:hint="eastAsia" w:ascii="宋体" w:hAnsi="宋体" w:cs="宋体"/>
              </w:rPr>
              <w:t>履约担保为中标合同金额的</w:t>
            </w:r>
            <w:r>
              <w:rPr>
                <w:rFonts w:hint="eastAsia" w:ascii="宋体" w:hAnsi="宋体" w:cs="宋体"/>
                <w:u w:val="single"/>
              </w:rPr>
              <w:t>2</w:t>
            </w:r>
            <w:r>
              <w:rPr>
                <w:rFonts w:hint="eastAsia" w:ascii="宋体" w:hAnsi="宋体" w:cs="宋体"/>
              </w:rPr>
              <w:t>％。</w:t>
            </w:r>
            <w:r>
              <w:rPr>
                <w:rFonts w:ascii="宋体" w:hAnsi="宋体" w:cs="宋体"/>
                <w:b/>
                <w:szCs w:val="21"/>
              </w:rPr>
              <w:t xml:space="preserve"> </w:t>
            </w:r>
          </w:p>
          <w:p>
            <w:pPr>
              <w:spacing w:line="340" w:lineRule="exact"/>
              <w:rPr>
                <w:rFonts w:ascii="宋体" w:hAnsi="宋体" w:cs="宋体"/>
                <w:b/>
                <w:szCs w:val="21"/>
              </w:rPr>
            </w:pPr>
            <w:r>
              <w:rPr>
                <w:rFonts w:hint="eastAsia" w:ascii="宋体" w:hAnsi="宋体" w:cs="宋体"/>
                <w:szCs w:val="21"/>
              </w:rPr>
              <w:t>③提交时限：</w:t>
            </w:r>
            <w:r>
              <w:rPr>
                <w:rFonts w:hint="eastAsia" w:ascii="宋体" w:hAnsi="宋体" w:cs="宋体"/>
                <w:b/>
                <w:szCs w:val="21"/>
              </w:rPr>
              <w:t>中标人在合同签订前按规定向安徽泰杰工程咨询有限公司提交履约担保。若中标人未按规定提交履约担保的，招标人可取消其中标资格，并保留进一步追偿的权利。</w:t>
            </w:r>
          </w:p>
          <w:p>
            <w:pPr>
              <w:spacing w:line="340" w:lineRule="exact"/>
              <w:rPr>
                <w:rFonts w:ascii="宋体" w:hAnsi="宋体" w:cs="宋体"/>
                <w:b/>
                <w:szCs w:val="21"/>
              </w:rPr>
            </w:pPr>
            <w:r>
              <w:rPr>
                <w:rFonts w:hint="eastAsia" w:ascii="宋体" w:hAnsi="宋体" w:cs="宋体"/>
                <w:b/>
                <w:szCs w:val="21"/>
              </w:rPr>
              <w:t>④履约保证金</w:t>
            </w:r>
            <w:r>
              <w:rPr>
                <w:rFonts w:ascii="宋体" w:hAnsi="宋体" w:cs="宋体"/>
                <w:b/>
                <w:szCs w:val="21"/>
              </w:rPr>
              <w:t>请汇至：</w:t>
            </w:r>
          </w:p>
          <w:p>
            <w:pPr>
              <w:spacing w:line="340" w:lineRule="exact"/>
              <w:rPr>
                <w:rFonts w:ascii="宋体" w:hAnsi="宋体" w:cs="宋体"/>
                <w:b/>
                <w:szCs w:val="21"/>
              </w:rPr>
            </w:pPr>
            <w:r>
              <w:rPr>
                <w:rFonts w:hint="eastAsia" w:ascii="宋体" w:hAnsi="宋体" w:cs="宋体"/>
                <w:b/>
                <w:szCs w:val="21"/>
              </w:rPr>
              <w:t>开户行名称：中国建设银行潜山支行</w:t>
            </w:r>
          </w:p>
          <w:p>
            <w:pPr>
              <w:spacing w:line="340" w:lineRule="exact"/>
              <w:rPr>
                <w:rFonts w:ascii="宋体" w:hAnsi="宋体" w:cs="宋体"/>
                <w:b/>
                <w:szCs w:val="21"/>
              </w:rPr>
            </w:pPr>
            <w:r>
              <w:rPr>
                <w:rFonts w:hint="eastAsia" w:ascii="宋体" w:hAnsi="宋体" w:cs="宋体"/>
                <w:b/>
                <w:szCs w:val="21"/>
              </w:rPr>
              <w:t>账户名称：安徽泰杰工程咨询有限公司</w:t>
            </w:r>
          </w:p>
          <w:p>
            <w:r>
              <w:rPr>
                <w:rFonts w:hint="eastAsia" w:ascii="宋体" w:hAnsi="宋体" w:cs="宋体"/>
                <w:b/>
                <w:szCs w:val="21"/>
              </w:rPr>
              <w:t>账号：34050168430800000493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35.4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质疑函递交方式、接收部门、联系电话和通讯地址</w:t>
            </w:r>
          </w:p>
        </w:tc>
        <w:tc>
          <w:tcPr>
            <w:tcW w:w="5998" w:type="dxa"/>
            <w:tcBorders>
              <w:top w:val="single" w:color="auto" w:sz="4" w:space="0"/>
              <w:left w:val="single" w:color="auto" w:sz="4" w:space="0"/>
              <w:bottom w:val="single" w:color="auto" w:sz="4" w:space="0"/>
            </w:tcBorders>
            <w:vAlign w:val="center"/>
          </w:tcPr>
          <w:p>
            <w:pPr>
              <w:spacing w:line="360" w:lineRule="auto"/>
              <w:rPr>
                <w:rFonts w:ascii="宋体" w:hAnsi="宋体"/>
                <w:szCs w:val="21"/>
              </w:rPr>
            </w:pPr>
            <w:r>
              <w:rPr>
                <w:rFonts w:hint="eastAsia" w:ascii="宋体" w:hAnsi="宋体"/>
                <w:szCs w:val="21"/>
              </w:rPr>
              <w:t>递交方式：</w:t>
            </w:r>
            <w:r>
              <w:rPr>
                <w:rFonts w:hint="eastAsia" w:ascii="宋体" w:hAnsi="宋体"/>
                <w:color w:val="000000"/>
                <w:szCs w:val="21"/>
              </w:rPr>
              <w:t>书面形式提出质疑</w:t>
            </w:r>
          </w:p>
          <w:p>
            <w:pPr>
              <w:spacing w:line="360" w:lineRule="auto"/>
              <w:rPr>
                <w:rFonts w:ascii="宋体" w:hAnsi="宋体"/>
                <w:szCs w:val="21"/>
              </w:rPr>
            </w:pPr>
            <w:r>
              <w:rPr>
                <w:rFonts w:hint="eastAsia" w:ascii="宋体" w:hAnsi="宋体"/>
                <w:szCs w:val="21"/>
              </w:rPr>
              <w:t>接收部门：</w:t>
            </w:r>
            <w:r>
              <w:rPr>
                <w:rFonts w:hint="eastAsia"/>
                <w:lang w:eastAsia="zh-CN"/>
              </w:rPr>
              <w:t>潜山市中医院</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联系电话：</w:t>
            </w:r>
            <w:r>
              <w:rPr>
                <w:rFonts w:hint="eastAsia"/>
                <w:lang w:eastAsia="zh-CN"/>
              </w:rPr>
              <w:t>18133057197</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通讯地址：</w:t>
            </w:r>
            <w:r>
              <w:rPr>
                <w:rFonts w:hint="eastAsia"/>
                <w:lang w:eastAsia="zh-CN"/>
              </w:rPr>
              <w:t>潜山市</w:t>
            </w:r>
            <w:r>
              <w:rPr>
                <w:rFonts w:hint="eastAsia" w:ascii="宋体" w:hAnsi="宋体"/>
                <w:szCs w:val="21"/>
              </w:rPr>
              <w:t xml:space="preserve">                 </w:t>
            </w:r>
          </w:p>
          <w:p>
            <w:pPr>
              <w:spacing w:line="360" w:lineRule="auto"/>
            </w:pPr>
            <w:r>
              <w:rPr>
                <w:rFonts w:hint="eastAsia" w:ascii="宋体" w:hAnsi="宋体"/>
                <w:szCs w:val="21"/>
              </w:rPr>
              <w:t>后文附 质疑范本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33</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成交服务费</w:t>
            </w:r>
          </w:p>
        </w:tc>
        <w:tc>
          <w:tcPr>
            <w:tcW w:w="5998" w:type="dxa"/>
            <w:tcBorders>
              <w:top w:val="single" w:color="auto" w:sz="4" w:space="0"/>
              <w:left w:val="single" w:color="auto" w:sz="4" w:space="0"/>
              <w:bottom w:val="single" w:color="auto" w:sz="4" w:space="0"/>
            </w:tcBorders>
            <w:vAlign w:val="center"/>
          </w:tcPr>
          <w:p>
            <w:pPr>
              <w:widowControl/>
              <w:snapToGrid w:val="0"/>
              <w:spacing w:line="440" w:lineRule="exact"/>
              <w:jc w:val="left"/>
              <w:rPr>
                <w:rFonts w:ascii="宋体" w:hAnsi="宋体" w:cs="宋体"/>
                <w:kern w:val="0"/>
                <w:szCs w:val="21"/>
                <w:lang w:bidi="ar"/>
              </w:rPr>
            </w:pPr>
            <w:r>
              <w:rPr>
                <w:rFonts w:hint="eastAsia" w:ascii="宋体" w:hAnsi="宋体" w:cs="宋体"/>
                <w:kern w:val="0"/>
                <w:sz w:val="24"/>
                <w:szCs w:val="24"/>
                <w:lang w:bidi="ar"/>
              </w:rPr>
              <w:t>（</w:t>
            </w:r>
            <w:r>
              <w:rPr>
                <w:rFonts w:hint="eastAsia" w:ascii="宋体" w:hAnsi="宋体" w:cs="宋体"/>
                <w:kern w:val="0"/>
                <w:szCs w:val="21"/>
                <w:lang w:bidi="ar"/>
              </w:rPr>
              <w:t>1）金额：</w:t>
            </w:r>
          </w:p>
          <w:p>
            <w:pPr>
              <w:widowControl/>
              <w:snapToGrid w:val="0"/>
              <w:spacing w:line="440" w:lineRule="exact"/>
              <w:jc w:val="left"/>
              <w:rPr>
                <w:rFonts w:ascii="宋体" w:hAnsi="宋体" w:cs="宋体"/>
                <w:kern w:val="0"/>
                <w:szCs w:val="21"/>
                <w:lang w:bidi="ar"/>
              </w:rPr>
            </w:pPr>
            <w:r>
              <w:rPr>
                <w:rFonts w:hint="eastAsia" w:ascii="宋体" w:hAnsi="宋体" w:cs="宋体"/>
                <w:kern w:val="0"/>
                <w:szCs w:val="21"/>
                <w:lang w:bidi="ar"/>
              </w:rPr>
              <w:t xml:space="preserve">□免收   </w:t>
            </w:r>
          </w:p>
          <w:p>
            <w:pPr>
              <w:widowControl/>
              <w:snapToGrid w:val="0"/>
              <w:spacing w:line="440" w:lineRule="exact"/>
              <w:jc w:val="left"/>
            </w:pPr>
            <w:r>
              <w:rPr>
                <w:rFonts w:hint="eastAsia" w:ascii="宋体" w:hAnsi="宋体" w:cs="宋体"/>
                <w:kern w:val="0"/>
                <w:szCs w:val="21"/>
                <w:lang w:bidi="ar"/>
              </w:rPr>
              <w:t xml:space="preserve">□定额收取：人民币  </w:t>
            </w:r>
            <w:r>
              <w:rPr>
                <w:rFonts w:hint="eastAsia" w:ascii="宋体" w:hAnsi="宋体" w:cs="宋体"/>
                <w:kern w:val="0"/>
                <w:sz w:val="24"/>
                <w:szCs w:val="24"/>
                <w:lang w:bidi="ar"/>
              </w:rPr>
              <w:t xml:space="preserve">  元 </w:t>
            </w:r>
          </w:p>
          <w:p>
            <w:pPr>
              <w:pStyle w:val="8"/>
              <w:rPr>
                <w:b w:val="0"/>
                <w:szCs w:val="21"/>
              </w:rPr>
            </w:pPr>
            <w:r>
              <w:rPr>
                <w:rFonts w:hint="eastAsia" w:cs="宋体"/>
                <w:szCs w:val="21"/>
                <w:lang w:eastAsia="zh-CN"/>
              </w:rPr>
              <w:t>☑</w:t>
            </w:r>
            <w:r>
              <w:rPr>
                <w:rFonts w:hint="eastAsia"/>
                <w:b w:val="0"/>
                <w:szCs w:val="21"/>
              </w:rPr>
              <w:t>按下列标准收取：成交服务费的收取采用差额定率累进计费方式，以成交价为计算基数，按下表规定的货物招标标准收取。</w:t>
            </w:r>
          </w:p>
          <w:p>
            <w:pPr>
              <w:widowControl/>
              <w:jc w:val="left"/>
              <w:rPr>
                <w:szCs w:val="21"/>
              </w:rPr>
            </w:pPr>
            <w:r>
              <w:rPr>
                <w:rFonts w:hint="eastAsia"/>
                <w:szCs w:val="21"/>
              </w:rPr>
              <w:drawing>
                <wp:anchor distT="0" distB="0" distL="114300" distR="114300" simplePos="0" relativeHeight="251660288" behindDoc="0" locked="0" layoutInCell="1" allowOverlap="1">
                  <wp:simplePos x="0" y="0"/>
                  <wp:positionH relativeFrom="column">
                    <wp:posOffset>-17145</wp:posOffset>
                  </wp:positionH>
                  <wp:positionV relativeFrom="paragraph">
                    <wp:posOffset>35560</wp:posOffset>
                  </wp:positionV>
                  <wp:extent cx="3575685" cy="2680335"/>
                  <wp:effectExtent l="0" t="0" r="5715" b="5715"/>
                  <wp:wrapSquare wrapText="bothSides"/>
                  <wp:docPr id="3" name="图片 3" descr="1666875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6875165(1)"/>
                          <pic:cNvPicPr>
                            <a:picLocks noChangeAspect="1"/>
                          </pic:cNvPicPr>
                        </pic:nvPicPr>
                        <pic:blipFill>
                          <a:blip r:embed="rId15"/>
                          <a:stretch>
                            <a:fillRect/>
                          </a:stretch>
                        </pic:blipFill>
                        <pic:spPr>
                          <a:xfrm>
                            <a:off x="0" y="0"/>
                            <a:ext cx="3575685" cy="2680335"/>
                          </a:xfrm>
                          <a:prstGeom prst="rect">
                            <a:avLst/>
                          </a:prstGeom>
                        </pic:spPr>
                      </pic:pic>
                    </a:graphicData>
                  </a:graphic>
                </wp:anchor>
              </w:drawing>
            </w:r>
            <w:r>
              <w:rPr>
                <w:rFonts w:hint="eastAsia" w:ascii="宋体" w:hAnsi="宋体" w:cs="宋体"/>
                <w:b/>
                <w:bCs/>
                <w:kern w:val="0"/>
                <w:szCs w:val="21"/>
                <w:lang w:bidi="ar"/>
              </w:rPr>
              <w:t>（</w:t>
            </w:r>
            <w:r>
              <w:rPr>
                <w:rFonts w:hint="eastAsia" w:ascii="宋体" w:hAnsi="宋体" w:cs="宋体"/>
                <w:kern w:val="0"/>
                <w:szCs w:val="21"/>
                <w:lang w:bidi="ar"/>
              </w:rPr>
              <w:t>2）支付方式：</w:t>
            </w:r>
            <w:r>
              <w:rPr>
                <w:rFonts w:ascii="Wingdings" w:hAnsi="Wingdings" w:cs="Wingdings"/>
                <w:kern w:val="0"/>
                <w:szCs w:val="21"/>
                <w:lang w:bidi="ar"/>
              </w:rPr>
              <w:sym w:font="Wingdings" w:char="00FE"/>
            </w:r>
            <w:r>
              <w:rPr>
                <w:rFonts w:hint="eastAsia" w:ascii="宋体" w:hAnsi="宋体" w:cs="宋体"/>
                <w:kern w:val="0"/>
                <w:szCs w:val="21"/>
                <w:lang w:bidi="ar"/>
              </w:rPr>
              <w:t xml:space="preserve">转账/电汇 </w:t>
            </w:r>
          </w:p>
          <w:p>
            <w:pPr>
              <w:widowControl/>
              <w:jc w:val="left"/>
              <w:rPr>
                <w:szCs w:val="21"/>
              </w:rPr>
            </w:pPr>
            <w:r>
              <w:rPr>
                <w:rFonts w:hint="eastAsia" w:ascii="宋体" w:hAnsi="宋体" w:cs="宋体"/>
                <w:kern w:val="0"/>
                <w:szCs w:val="21"/>
                <w:lang w:bidi="ar"/>
              </w:rPr>
              <w:t>（3）收取单位：</w:t>
            </w:r>
            <w:r>
              <w:rPr>
                <w:rFonts w:hint="eastAsia" w:ascii="宋体" w:hAnsi="宋体"/>
                <w:color w:val="000000" w:themeColor="text1"/>
                <w:szCs w:val="21"/>
                <w14:textFill>
                  <w14:solidFill>
                    <w14:schemeClr w14:val="tx1"/>
                  </w14:solidFill>
                </w14:textFill>
              </w:rPr>
              <w:t>安徽泰杰工程咨询有限公司</w:t>
            </w:r>
          </w:p>
          <w:p>
            <w:pPr>
              <w:widowControl/>
              <w:jc w:val="left"/>
              <w:rPr>
                <w:rFonts w:ascii="宋体" w:hAnsi="宋体" w:cs="宋体"/>
                <w:kern w:val="0"/>
                <w:szCs w:val="21"/>
                <w:lang w:bidi="ar"/>
              </w:rPr>
            </w:pPr>
            <w:r>
              <w:rPr>
                <w:rFonts w:hint="eastAsia" w:ascii="宋体" w:hAnsi="宋体" w:cs="宋体"/>
                <w:kern w:val="0"/>
                <w:szCs w:val="21"/>
                <w:lang w:bidi="ar"/>
              </w:rPr>
              <w:t>（4）缴纳单位：成交人</w:t>
            </w:r>
          </w:p>
          <w:p>
            <w:pPr>
              <w:widowControl/>
              <w:jc w:val="left"/>
              <w:rPr>
                <w:rFonts w:ascii="宋体" w:hAnsi="宋体"/>
                <w:szCs w:val="21"/>
              </w:rPr>
            </w:pPr>
            <w:r>
              <w:rPr>
                <w:rFonts w:hint="eastAsia" w:ascii="宋体" w:hAnsi="宋体" w:cs="宋体"/>
                <w:kern w:val="0"/>
                <w:szCs w:val="21"/>
                <w:lang w:bidi="ar"/>
              </w:rPr>
              <w:t>（5）成交人</w:t>
            </w:r>
            <w:r>
              <w:rPr>
                <w:rFonts w:hint="eastAsia" w:ascii="宋体" w:hAnsi="宋体"/>
                <w:szCs w:val="21"/>
              </w:rPr>
              <w:t>应在收到缴费通知后三日内按磋商文件要求缴纳服务费。</w:t>
            </w:r>
          </w:p>
          <w:p>
            <w:pPr>
              <w:pStyle w:val="59"/>
              <w:ind w:firstLine="0" w:firstLineChars="0"/>
            </w:pPr>
            <w:r>
              <w:rPr>
                <w:rFonts w:hint="eastAsia" w:hAnsi="宋体"/>
                <w:b/>
                <w:bCs/>
                <w:color w:val="000000" w:themeColor="text1"/>
                <w:sz w:val="21"/>
                <w:szCs w:val="21"/>
                <w14:textFill>
                  <w14:solidFill>
                    <w14:schemeClr w14:val="tx1"/>
                  </w14:solidFill>
                </w14:textFill>
              </w:rPr>
              <w:t>（6）专家评审费不在服务费之内，需额外支付。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ascii="宋体" w:hAnsi="宋体"/>
                <w:szCs w:val="21"/>
              </w:rPr>
              <w:t>21.4.4</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szCs w:val="21"/>
              </w:rPr>
              <w:t>原件</w:t>
            </w:r>
          </w:p>
        </w:tc>
        <w:tc>
          <w:tcPr>
            <w:tcW w:w="5998"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rPr>
            </w:pPr>
            <w:r>
              <w:rPr>
                <w:rFonts w:hint="eastAsia" w:ascii="宋体" w:hAnsi="宋体"/>
                <w:szCs w:val="21"/>
              </w:rPr>
              <w:t>本次磋商时不要求供应商携带相关证件、业绩及奖项的原件（磋商文件另有要求的除外）。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3.2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关于联合体磋商的相关约定</w:t>
            </w:r>
          </w:p>
        </w:tc>
        <w:tc>
          <w:tcPr>
            <w:tcW w:w="5998"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（1）联合体磋商的，磋商文件获取手续由联合体中任一成员单位办理均可。</w:t>
            </w:r>
          </w:p>
          <w:p>
            <w:pPr>
              <w:ind w:firstLine="420" w:firstLineChars="200"/>
              <w:rPr>
                <w:rFonts w:ascii="宋体" w:hAnsi="宋体"/>
                <w:szCs w:val="21"/>
              </w:rPr>
            </w:pPr>
            <w:r>
              <w:rPr>
                <w:rFonts w:hint="eastAsia" w:ascii="宋体" w:hAnsi="宋体"/>
                <w:szCs w:val="21"/>
              </w:rPr>
              <w:t>（2）联合体磋商的须提供联合协议（见响应文件格式），相关证明材料由供应商根据联合协议分工情况及磋商文件要求提供。</w:t>
            </w:r>
          </w:p>
          <w:p>
            <w:pPr>
              <w:ind w:firstLine="420" w:firstLineChars="200"/>
              <w:rPr>
                <w:rFonts w:ascii="宋体" w:hAnsi="宋体"/>
                <w:szCs w:val="21"/>
              </w:rPr>
            </w:pPr>
            <w:r>
              <w:rPr>
                <w:rFonts w:hint="eastAsia" w:ascii="宋体" w:hAnsi="宋体"/>
                <w:szCs w:val="21"/>
              </w:rPr>
              <w:t>（3）联合体各成员单位均须提供营业执照（或事业单位法人证书或社会团体法人登记证书或民办非企业单位登记证书）、税务登记证和供应商声明函。注：已办理“三证合一”登记的，响应文件中提供营业执照（或事业单位法人证书或社会团体法人登记证书或民办非企业单位登记证书）扫描件即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36</w:t>
            </w:r>
          </w:p>
        </w:tc>
        <w:tc>
          <w:tcPr>
            <w:tcW w:w="8071" w:type="dxa"/>
            <w:gridSpan w:val="2"/>
            <w:tcBorders>
              <w:top w:val="single" w:color="auto" w:sz="4" w:space="0"/>
              <w:left w:val="single" w:color="auto" w:sz="4" w:space="0"/>
              <w:bottom w:val="single" w:color="auto" w:sz="4" w:space="0"/>
            </w:tcBorders>
            <w:vAlign w:val="center"/>
          </w:tcPr>
          <w:p>
            <w:pPr>
              <w:spacing w:line="480" w:lineRule="exact"/>
              <w:ind w:firstLine="630" w:firstLineChars="300"/>
              <w:rPr>
                <w:rFonts w:ascii="宋体" w:hAnsi="宋体" w:cs="宋体"/>
              </w:rPr>
            </w:pPr>
            <w:r>
              <w:rPr>
                <w:rFonts w:hint="eastAsia" w:ascii="宋体" w:hAnsi="宋体"/>
                <w:szCs w:val="21"/>
              </w:rPr>
              <w:t>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29"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36.2</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5998" w:type="dxa"/>
            <w:tcBorders>
              <w:top w:val="single" w:color="auto" w:sz="4" w:space="0"/>
              <w:left w:val="single" w:color="auto" w:sz="4" w:space="0"/>
              <w:bottom w:val="single" w:color="auto" w:sz="4" w:space="0"/>
            </w:tcBorders>
            <w:vAlign w:val="center"/>
          </w:tcPr>
          <w:p>
            <w:pPr>
              <w:spacing w:line="480" w:lineRule="exact"/>
              <w:rPr>
                <w:rFonts w:ascii="宋体" w:hAnsi="宋体" w:cs="宋体"/>
              </w:rPr>
            </w:pPr>
            <w:r>
              <w:rPr>
                <w:rFonts w:hint="eastAsia" w:ascii="宋体" w:hAnsi="宋体" w:cs="宋体"/>
              </w:rPr>
              <w:t>1、本磋商文件的解释权归采购单位。</w:t>
            </w:r>
          </w:p>
          <w:p>
            <w:pPr>
              <w:spacing w:line="480" w:lineRule="exact"/>
              <w:rPr>
                <w:rFonts w:ascii="宋体" w:hAnsi="宋体" w:cs="宋体"/>
              </w:rPr>
            </w:pPr>
            <w:r>
              <w:rPr>
                <w:rFonts w:hint="eastAsia" w:ascii="宋体" w:hAnsi="宋体" w:cs="宋体"/>
              </w:rPr>
              <w:t>2、本项目若涉及到专业分包工程，如成交人没有相应资质，则</w:t>
            </w:r>
          </w:p>
          <w:p>
            <w:pPr>
              <w:spacing w:line="480" w:lineRule="exact"/>
              <w:rPr>
                <w:rFonts w:ascii="宋体" w:hAnsi="宋体" w:cs="宋体"/>
              </w:rPr>
            </w:pPr>
            <w:r>
              <w:rPr>
                <w:rFonts w:hint="eastAsia" w:ascii="宋体" w:hAnsi="宋体" w:cs="宋体"/>
              </w:rPr>
              <w:t>必须委托有资质的单位实施。该专业分包单位的选定须事先征得采购人同意。</w:t>
            </w:r>
          </w:p>
          <w:p>
            <w:pPr>
              <w:spacing w:line="480" w:lineRule="exact"/>
              <w:rPr>
                <w:rFonts w:ascii="宋体" w:hAnsi="宋体" w:cs="宋体"/>
                <w:b/>
                <w:szCs w:val="21"/>
              </w:rPr>
            </w:pPr>
            <w:r>
              <w:rPr>
                <w:rFonts w:hint="eastAsia" w:ascii="宋体" w:hAnsi="宋体" w:cs="宋体"/>
                <w:b/>
                <w:szCs w:val="21"/>
              </w:rPr>
              <w:t>3、本项目所要求的业绩均须为中华人民共和国境内业绩（不含港澳台地区），成交供应商经磋商小组评审认可的相关业绩、奖项、证书将在</w:t>
            </w:r>
            <w:r>
              <w:rPr>
                <w:rFonts w:hint="eastAsia" w:ascii="宋体" w:hAnsi="宋体" w:cs="宋体"/>
                <w:b/>
                <w:szCs w:val="21"/>
                <w:lang w:eastAsia="zh-CN"/>
              </w:rPr>
              <w:t>安徽泰杰工程咨询有限公司网站</w:t>
            </w:r>
            <w:r>
              <w:rPr>
                <w:rFonts w:hint="eastAsia" w:ascii="宋体" w:hAnsi="宋体" w:cs="宋体"/>
                <w:b/>
                <w:szCs w:val="21"/>
              </w:rPr>
              <w:t>公告（如响应人相关业绩、奖项、证书属于涉密的，响应人须在响应文件中进行说明，标注出业绩、奖项、证书中涉密部分，则该业绩、奖项、证书中涉密部分不予公告）。</w:t>
            </w:r>
          </w:p>
          <w:p>
            <w:pPr>
              <w:spacing w:line="480" w:lineRule="exact"/>
              <w:rPr>
                <w:rFonts w:ascii="宋体"/>
                <w:szCs w:val="21"/>
              </w:rPr>
            </w:pPr>
            <w:r>
              <w:rPr>
                <w:rFonts w:hint="eastAsia" w:ascii="宋体" w:hAnsi="宋体" w:cs="宋体"/>
              </w:rPr>
              <w:t>4、依据《政府采购促进中小企业发展管理办法》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29" w:type="dxa"/>
            <w:tcBorders>
              <w:top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bookmarkStart w:id="55" w:name="_Toc439316872"/>
            <w:r>
              <w:rPr>
                <w:rFonts w:hint="eastAsia" w:ascii="宋体" w:hAnsi="宋体" w:cs="宋体"/>
                <w:kern w:val="0"/>
                <w:sz w:val="22"/>
                <w:szCs w:val="22"/>
                <w:lang w:bidi="ar"/>
              </w:rPr>
              <w:t>36.3</w:t>
            </w:r>
          </w:p>
        </w:tc>
        <w:tc>
          <w:tcPr>
            <w:tcW w:w="207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其他补充说明</w:t>
            </w:r>
          </w:p>
        </w:tc>
        <w:tc>
          <w:tcPr>
            <w:tcW w:w="5998" w:type="dxa"/>
            <w:tcBorders>
              <w:top w:val="single" w:color="auto" w:sz="4" w:space="0"/>
              <w:left w:val="single" w:color="auto" w:sz="4" w:space="0"/>
              <w:bottom w:val="single" w:color="auto" w:sz="4" w:space="0"/>
            </w:tcBorders>
            <w:vAlign w:val="center"/>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为贯彻落实中央、省、市“扫 黑除恶”专项斗争有关文件和会议精神，净化我市公共资源交易环境，对在交易过程中如发现有涉嫌围标、串标、恶意竞标的违法违规人员，依据相关规定，将线索移送市扫黑办。</w:t>
            </w:r>
          </w:p>
          <w:p>
            <w:pPr>
              <w:spacing w:line="480" w:lineRule="exact"/>
              <w:rPr>
                <w:rFonts w:ascii="宋体" w:hAnsi="宋体" w:eastAsia="Arial Unicode MS" w:cs="宋体"/>
                <w:szCs w:val="24"/>
              </w:rPr>
            </w:pPr>
            <w:r>
              <w:rPr>
                <w:rFonts w:hint="eastAsia" w:ascii="宋体" w:hAnsi="宋体"/>
                <w:color w:val="000000" w:themeColor="text1"/>
                <w:szCs w:val="21"/>
                <w14:textFill>
                  <w14:solidFill>
                    <w14:schemeClr w14:val="tx1"/>
                  </w14:solidFill>
                </w14:textFill>
              </w:rPr>
              <w:t>2.评审中，评标委员会发现供应商的投标文件中对同类问题表述不一致、前后矛盾、有明显文字和计算错误的内容、有可能不符合招标文件规定等情况需要澄清时，评标委员会应当通过纸质询标函对供应商进行询标，要求供应商进行必要的澄清、说明或补正。</w:t>
            </w:r>
          </w:p>
        </w:tc>
      </w:tr>
    </w:tbl>
    <w:p>
      <w:pPr>
        <w:rPr>
          <w:rFonts w:ascii="宋体" w:hAnsi="宋体"/>
          <w:kern w:val="0"/>
          <w:lang w:val="zh-CN"/>
        </w:rPr>
      </w:pPr>
      <w:r>
        <w:rPr>
          <w:kern w:val="0"/>
          <w:lang w:val="zh-CN"/>
        </w:rPr>
        <w:br w:type="page"/>
      </w:r>
    </w:p>
    <w:p>
      <w:pPr>
        <w:pStyle w:val="3"/>
        <w:rPr>
          <w:rFonts w:cs="Tahoma"/>
          <w:bCs/>
          <w:kern w:val="0"/>
          <w:sz w:val="32"/>
          <w:szCs w:val="32"/>
          <w:lang w:val="zh-CN"/>
        </w:rPr>
      </w:pPr>
      <w:bookmarkStart w:id="56" w:name="_Toc54941331"/>
      <w:bookmarkStart w:id="57" w:name="_Toc252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rPr>
        <w:t>供应商</w:t>
      </w:r>
      <w:r>
        <w:rPr>
          <w:rFonts w:hint="eastAsia" w:cs="Tahoma"/>
          <w:bCs/>
          <w:kern w:val="0"/>
          <w:sz w:val="32"/>
          <w:szCs w:val="32"/>
          <w:lang w:val="zh-CN"/>
        </w:rPr>
        <w:t>须知</w:t>
      </w:r>
      <w:bookmarkEnd w:id="55"/>
      <w:bookmarkEnd w:id="56"/>
      <w:bookmarkEnd w:id="57"/>
    </w:p>
    <w:p>
      <w:pPr>
        <w:snapToGrid w:val="0"/>
        <w:spacing w:line="560" w:lineRule="exact"/>
        <w:ind w:firstLine="482" w:firstLineChars="200"/>
        <w:rPr>
          <w:rFonts w:asciiTheme="minorEastAsia" w:hAnsiTheme="minorEastAsia" w:eastAsiaTheme="minorEastAsia" w:cstheme="minorEastAsia"/>
          <w:b/>
          <w:bCs/>
          <w:sz w:val="24"/>
          <w:szCs w:val="24"/>
          <w:lang w:val="zh-CN"/>
        </w:rPr>
      </w:pPr>
      <w:bookmarkStart w:id="58" w:name="_Toc10523"/>
      <w:bookmarkStart w:id="59" w:name="_Toc25270"/>
      <w:bookmarkStart w:id="60" w:name="_Toc439316873"/>
      <w:bookmarkStart w:id="61" w:name="_Toc15055"/>
      <w:bookmarkStart w:id="62" w:name="_Toc21078"/>
      <w:bookmarkStart w:id="63" w:name="_Toc7325"/>
      <w:bookmarkStart w:id="64" w:name="_Toc439316919"/>
      <w:r>
        <w:rPr>
          <w:rFonts w:hint="eastAsia" w:asciiTheme="minorEastAsia" w:hAnsiTheme="minorEastAsia" w:eastAsiaTheme="minorEastAsia" w:cstheme="minorEastAsia"/>
          <w:b/>
          <w:bCs/>
          <w:sz w:val="24"/>
          <w:szCs w:val="24"/>
          <w:lang w:val="zh-CN"/>
        </w:rPr>
        <w:t>1、适用法律</w:t>
      </w:r>
      <w:bookmarkEnd w:id="58"/>
      <w:bookmarkEnd w:id="59"/>
      <w:bookmarkEnd w:id="60"/>
      <w:bookmarkEnd w:id="61"/>
      <w:bookmarkEnd w:id="62"/>
      <w:bookmarkEnd w:id="63"/>
      <w:bookmarkEnd w:id="64"/>
    </w:p>
    <w:p>
      <w:pPr>
        <w:snapToGrid w:val="0"/>
        <w:spacing w:line="560" w:lineRule="exact"/>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本项目采购人、采购代理机构、响应人、</w:t>
      </w:r>
      <w:r>
        <w:rPr>
          <w:rFonts w:hint="eastAsia" w:asciiTheme="minorEastAsia" w:hAnsiTheme="minorEastAsia" w:eastAsiaTheme="minorEastAsia" w:cstheme="minorEastAsia"/>
          <w:sz w:val="24"/>
          <w:szCs w:val="24"/>
        </w:rPr>
        <w:t>磋商小组</w:t>
      </w:r>
      <w:r>
        <w:rPr>
          <w:rFonts w:hint="eastAsia" w:asciiTheme="minorEastAsia" w:hAnsiTheme="minorEastAsia" w:eastAsiaTheme="minorEastAsia" w:cstheme="minorEastAsia"/>
          <w:sz w:val="24"/>
          <w:szCs w:val="24"/>
          <w:lang w:val="zh-CN"/>
        </w:rPr>
        <w:t>的相关行为均受《中华人民共和国政府采购法》《中华人民共和国政府采购法实施条例》《政府采购竞争性磋商采</w:t>
      </w:r>
      <w:r>
        <w:rPr>
          <w:rFonts w:hint="eastAsia" w:asciiTheme="minorEastAsia" w:hAnsiTheme="minorEastAsia" w:eastAsiaTheme="minorEastAsia" w:cstheme="minorEastAsia"/>
          <w:sz w:val="24"/>
          <w:szCs w:val="24"/>
        </w:rPr>
        <w:t>购方式管理暂行办法</w:t>
      </w:r>
      <w:r>
        <w:rPr>
          <w:rFonts w:hint="eastAsia" w:asciiTheme="minorEastAsia" w:hAnsiTheme="minorEastAsia" w:eastAsiaTheme="minorEastAsia" w:cstheme="minorEastAsia"/>
          <w:sz w:val="24"/>
          <w:szCs w:val="24"/>
          <w:lang w:val="zh-CN"/>
        </w:rPr>
        <w:t>》及本项目本级和上级财政部门、政府采购监督管理部门的政府采购有关规定的约束，其权利受到上述法律法规的保护。</w:t>
      </w:r>
    </w:p>
    <w:p>
      <w:pPr>
        <w:snapToGrid w:val="0"/>
        <w:spacing w:line="560" w:lineRule="exact"/>
        <w:ind w:firstLine="482" w:firstLineChars="200"/>
        <w:rPr>
          <w:rFonts w:asciiTheme="minorEastAsia" w:hAnsiTheme="minorEastAsia" w:eastAsiaTheme="minorEastAsia" w:cstheme="minorEastAsia"/>
          <w:b/>
          <w:bCs/>
          <w:sz w:val="24"/>
          <w:szCs w:val="24"/>
          <w:lang w:val="zh-CN"/>
        </w:rPr>
      </w:pPr>
      <w:bookmarkStart w:id="65" w:name="_Toc439316874"/>
      <w:bookmarkStart w:id="66" w:name="_Toc439316920"/>
      <w:bookmarkStart w:id="67" w:name="_Toc10933"/>
      <w:bookmarkStart w:id="68" w:name="_Toc8228"/>
      <w:bookmarkStart w:id="69" w:name="_Toc24643"/>
      <w:bookmarkStart w:id="70" w:name="_Toc27113"/>
      <w:bookmarkStart w:id="71" w:name="_Toc1704"/>
      <w:r>
        <w:rPr>
          <w:rFonts w:hint="eastAsia" w:asciiTheme="minorEastAsia" w:hAnsiTheme="minorEastAsia" w:eastAsiaTheme="minorEastAsia" w:cstheme="minorEastAsia"/>
          <w:b/>
          <w:bCs/>
          <w:sz w:val="24"/>
          <w:szCs w:val="24"/>
          <w:lang w:val="zh-CN"/>
        </w:rPr>
        <w:t>2、定义</w:t>
      </w:r>
      <w:bookmarkEnd w:id="65"/>
      <w:bookmarkEnd w:id="66"/>
      <w:bookmarkEnd w:id="67"/>
      <w:bookmarkEnd w:id="68"/>
      <w:bookmarkEnd w:id="69"/>
      <w:bookmarkEnd w:id="70"/>
      <w:bookmarkEnd w:id="71"/>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2.1采购人：是指依法开展政府采购活动的国家机关、事业单位、团体组织。本项目的采购人见磋商须知前附表。</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2.2采购代理机构：是指集中采购机构或从事采购代理业务的社会中介机构。本项目的采购代理机构见磋商须知前附表。</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磋商，须取得总公司的相关授权或出具总公司的有关文件、制度等能够证明总公司授权其独立开展业务的证明（响应文件中须提供），响应文件中关于法定代表人的要求事项可由分公司负责人代理。</w:t>
      </w:r>
    </w:p>
    <w:p>
      <w:pPr>
        <w:snapToGrid w:val="0"/>
        <w:spacing w:line="560" w:lineRule="exact"/>
        <w:ind w:firstLine="480" w:firstLineChars="200"/>
        <w:rPr>
          <w:rFonts w:eastAsiaTheme="minorEastAsia"/>
        </w:rPr>
      </w:pPr>
      <w:r>
        <w:rPr>
          <w:rFonts w:hint="eastAsia" w:asciiTheme="minorEastAsia" w:hAnsiTheme="minorEastAsia" w:eastAsiaTheme="minorEastAsia" w:cstheme="minorEastAsia"/>
          <w:sz w:val="24"/>
          <w:szCs w:val="24"/>
        </w:rPr>
        <w:t>2.4、政府采购监督管理部门：各级人民政府指定的有关部门依法履行与政府采购活动有关的监督管理职责。本项目的政府采购监督管理部门见磋商须知前附表。</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3、响应人资格要求</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3.1、参与本项目的响应人或货物必须满足的要求：</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3.1.1 在中华人民共和国境内注册，能够独立承担民事责任，有生产或供应能力的本国供应商。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3.1.2 具备《中华人民共和国政府采购法》第二十二条关于供应商条件的规定，遵守本项目采购人本级和上级财政部门政府采购的有关规定。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3.1.3 以磋商公告中约定的方式获得了本项目的磋商文件。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3.1.4 若磋商须知前附表中写明允许采购进口产品，响应人应保证所投产品可履行合法报通关手续进入中国关境内。 若磋商须知前附表中未写明允许采购进口产品，如响应人所投产品为进口产品，其响应文件将被认定为响应无效。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3.1.5 若磋商须知前附表中写明专门面向中小企业采购的，如响应人提供的货物非中小企业制造的，其响应文件将被认定为响应无效。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 若磋商公告中接受联合体磋商，对联合体规定如下：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3.2.1 两个以上供应商可以组成一个磋商联合体，以一个响应人的身份磋商。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3.2.2 联合体各方均应符合《中华人民共和国政府采购法》第二十二条规定的条件。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3.2.3 采购人根据采购项目对响应人的特殊要求，联合体中至少应当有一方符合相关规定。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3.2.4 联合体各方应签订联合协议，明确约定联合体各方承担的工作和相应的责任，并将联合协议作为响应文件的一部分提交。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3.2.5 大中型企业、其他自然人、法人或者非法人组织与小型、微型企业组成联合体共同参加磋商，联合协议中应写明小型、微型企业的协议合同金额占到联合协议磋商总金额的比例。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3.2.6 联合体中有同类资质的供应商按照联合体分工承担相同工作的，应当按照资质等级较低的供应商确定资质等级。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3.2.7 以联合体形式参加政府采购活动的，联合体各方不得再单独参加或者与其他供应商另外组成联合体参加本项目磋商，否则相关响应文件将被认定为响应无效。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3.2.8 对联合体磋商的其他资格要求见响应人资格。</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 单位负责人为同一人或者存在直接控股、管理关系的不同供应商，不得参加同一合同项下的政府采购活动。否则其响应文件将被认定为响应无效。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 除单一来源采购项目外，为采购项目提供整体设计、规范编制或者项目管理、监理、检测等服务的供应商，不得再参加该采购项目的其他采购活动。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3.5、供应商必须确保自己信息真实、准确，否则，供应商因此蒙受损失，采购单位概不负责。</w:t>
      </w:r>
    </w:p>
    <w:p>
      <w:pPr>
        <w:snapToGrid w:val="0"/>
        <w:spacing w:line="5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4、现场考察：</w:t>
      </w:r>
      <w:r>
        <w:rPr>
          <w:rFonts w:hint="eastAsia" w:asciiTheme="minorEastAsia" w:hAnsiTheme="minorEastAsia" w:eastAsiaTheme="minorEastAsia" w:cstheme="minorEastAsia"/>
          <w:sz w:val="24"/>
          <w:szCs w:val="24"/>
        </w:rPr>
        <w:t>供应商自行考察现场。供应商应认真对现场环境进行考察，对项目环境和影响等因素，做出理性的判断和估价。成交后签订合同时和供货安装过程中，供应商不得以不完全了解或不了解现场情况为由，提出任何形式的增加费用或索赔的要求。</w:t>
      </w:r>
    </w:p>
    <w:p>
      <w:pPr>
        <w:snapToGrid w:val="0"/>
        <w:spacing w:line="560" w:lineRule="exact"/>
        <w:ind w:firstLine="482" w:firstLineChars="200"/>
        <w:rPr>
          <w:rFonts w:asciiTheme="minorEastAsia" w:hAnsiTheme="minorEastAsia" w:eastAsiaTheme="minorEastAsia" w:cstheme="minorEastAsia"/>
          <w:sz w:val="24"/>
          <w:szCs w:val="24"/>
          <w:lang w:val="zh-CN"/>
        </w:rPr>
      </w:pPr>
      <w:bookmarkStart w:id="72" w:name="_Toc439316921"/>
      <w:bookmarkStart w:id="73" w:name="_Toc439316875"/>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lang w:val="zh-CN"/>
        </w:rPr>
        <w:t>磋商费用</w:t>
      </w:r>
      <w:r>
        <w:rPr>
          <w:rFonts w:hint="eastAsia" w:asciiTheme="minorEastAsia" w:hAnsiTheme="minorEastAsia" w:eastAsiaTheme="minorEastAsia" w:cstheme="minorEastAsia"/>
          <w:sz w:val="24"/>
          <w:szCs w:val="24"/>
          <w:lang w:val="zh-CN"/>
        </w:rPr>
        <w:t>：供应商必须自行承担参加磋商所有费用。</w:t>
      </w:r>
      <w:bookmarkEnd w:id="72"/>
      <w:bookmarkEnd w:id="73"/>
    </w:p>
    <w:p>
      <w:pPr>
        <w:autoSpaceDE w:val="0"/>
        <w:autoSpaceDN w:val="0"/>
        <w:adjustRightInd w:val="0"/>
        <w:snapToGrid w:val="0"/>
        <w:spacing w:line="560" w:lineRule="exact"/>
        <w:ind w:firstLine="420"/>
        <w:outlineLvl w:val="2"/>
        <w:rPr>
          <w:rFonts w:asciiTheme="minorEastAsia" w:hAnsiTheme="minorEastAsia" w:eastAsiaTheme="minorEastAsia" w:cstheme="minorEastAsia"/>
          <w:b/>
          <w:bCs/>
          <w:sz w:val="24"/>
          <w:szCs w:val="24"/>
          <w:lang w:val="zh-CN"/>
        </w:rPr>
      </w:pPr>
      <w:bookmarkStart w:id="74" w:name="_Toc54941333"/>
      <w:r>
        <w:rPr>
          <w:rFonts w:hint="eastAsia" w:asciiTheme="minorEastAsia" w:hAnsiTheme="minorEastAsia" w:eastAsiaTheme="minorEastAsia" w:cstheme="minorEastAsia"/>
          <w:b/>
          <w:bCs/>
          <w:sz w:val="24"/>
          <w:szCs w:val="24"/>
          <w:lang w:val="zh-CN"/>
        </w:rPr>
        <w:t>二、磋商文件</w:t>
      </w:r>
      <w:bookmarkEnd w:id="74"/>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6、磋商文件的构成</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6.1、磋商文件包括：</w:t>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磋商公告</w:t>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竞争性磋商须知</w:t>
      </w:r>
      <w:r>
        <w:rPr>
          <w:rFonts w:hint="eastAsia" w:asciiTheme="minorEastAsia" w:hAnsiTheme="minorEastAsia" w:eastAsiaTheme="minorEastAsia" w:cstheme="minorEastAsia"/>
          <w:sz w:val="24"/>
          <w:szCs w:val="24"/>
        </w:rPr>
        <w:tab/>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采购需求</w:t>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评审方法和标准</w:t>
      </w:r>
      <w:r>
        <w:rPr>
          <w:rFonts w:hint="eastAsia" w:asciiTheme="minorEastAsia" w:hAnsiTheme="minorEastAsia" w:eastAsiaTheme="minorEastAsia" w:cstheme="minorEastAsia"/>
          <w:sz w:val="24"/>
          <w:szCs w:val="24"/>
        </w:rPr>
        <w:tab/>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政府采购合同主要条款</w:t>
      </w:r>
      <w:r>
        <w:rPr>
          <w:rFonts w:hint="eastAsia" w:asciiTheme="minorEastAsia" w:hAnsiTheme="minorEastAsia" w:eastAsiaTheme="minorEastAsia" w:cstheme="minorEastAsia"/>
          <w:sz w:val="24"/>
          <w:szCs w:val="24"/>
        </w:rPr>
        <w:tab/>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响应文件格式</w:t>
      </w:r>
      <w:r>
        <w:rPr>
          <w:rFonts w:hint="eastAsia" w:asciiTheme="minorEastAsia" w:hAnsiTheme="minorEastAsia" w:eastAsiaTheme="minorEastAsia" w:cstheme="minorEastAsia"/>
          <w:sz w:val="24"/>
          <w:szCs w:val="24"/>
        </w:rPr>
        <w:tab/>
      </w:r>
    </w:p>
    <w:p>
      <w:pPr>
        <w:snapToGrid w:val="0"/>
        <w:spacing w:line="56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第七章 政府采购供应商质疑函范本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6.2、供应商应认真阅读和充分理解磋商文件中所有的内容。如果供应商没有满足磋商文件的有关要求，其风险由供应商自行承担。</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供应商获取磋商文件后，应仔细检查磋商文件的所有内容，如有残缺、文本不清晰、表述不一致等问题，应在获得磋商文件后及时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7、磋商文件的澄清与修改</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采购人可主动地或在解答响应人提出的问题时对磋商文件进行澄清与修改。采购代理机构将在安徽泰杰工程咨询有限公司网站以发布更正公告的方式澄清或修改磋商文件，澄清或修改的内容作为磋商文件的组成部分，对响应人起约束作用。响应人应主动上网查询。采购代理机构不承担响应人未及时关注相关信息引发的相关责任。</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任何人或任何组织向响应人提供的任何书面或口头资料，未经采购代理机构在网上发布或书面通知，均作无效处理，不得作为磋商文件的组成部分。采购代理机构对响应人由此而做出的推论、理解和结论概不负责。</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7.3对于没有提出疑问又参与了本项目的响应人将被视为完全认同本磋商文件（含澄清或修改的内容）。</w:t>
      </w:r>
    </w:p>
    <w:p>
      <w:pPr>
        <w:snapToGrid w:val="0"/>
        <w:spacing w:line="560" w:lineRule="exact"/>
        <w:ind w:firstLine="420"/>
        <w:rPr>
          <w:rFonts w:asciiTheme="minorEastAsia" w:hAnsiTheme="minorEastAsia" w:eastAsiaTheme="minorEastAsia" w:cstheme="minorEastAsia"/>
          <w:b/>
          <w:sz w:val="24"/>
          <w:szCs w:val="24"/>
        </w:rPr>
      </w:pPr>
      <w:r>
        <w:rPr>
          <w:rFonts w:hint="eastAsia" w:asciiTheme="minorEastAsia" w:hAnsiTheme="minorEastAsia" w:eastAsiaTheme="minorEastAsia"/>
          <w:b/>
          <w:sz w:val="24"/>
        </w:rPr>
        <w:t>8、磋商范围及响应文件中标准和计量单位的使用</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8.1、无论磋商文件中是否要求，供应商所投的货物及所伴随的服务和工程均应符合国家强制性标准。</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8.2 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 </w:t>
      </w:r>
    </w:p>
    <w:p>
      <w:pPr>
        <w:snapToGrid w:val="0"/>
        <w:spacing w:line="5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8.3除磋商文件中有特殊要求外，响应文件中所使用的计量单位，应采用中华人民共和国法定计量单位。</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9、响应文件的编制</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供应商应完整地按磋商文件提供的响应文件格式及要求编写响应文件。</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9.2 在第六章“响应文件格式”中要求供应商盖章处，供应商均应加盖供应商公章。联合体参加磋商的，除联合体协议及磋商文件规定须联合体各成员单位各自盖章的证明材料外，响应文件由联合体牵头人按上述规定加盖联合体牵头人单位公章。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响应文件不得行间插字、涂改或增删。</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9.4供应商必须对其响应文件的真实性与准确性负责。供应商一旦成交，其响应文件将作为合同的重要组成部分。</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9.5供应商提供的货物能满足磋商文件约定的实质性要求。否则，其响应文件在评审时有可能被认为是对磋商文件未做出实质性的响应，而终止对其作进一步的评审。</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10、磋商响应报价</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10.1、响应文件的分项报价明细表上应清楚地标明响应人拟提供货物的名称、生产厂家、品牌、型号、单位、数量、单价和总价等内容。</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10.2、除非特别要求，每个项目（或每个包）只允许有一个方案、一个报价。多方案、多报价的响应文件将视为响应无效。</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10.3、本项目采用总价包干，供应商的报价应当包括满足本次磋商全部采购需求所应提供的货物，以及伴随的服务和工程。所有内容均应以人民币报价，供应商的磋商报价应遵守《中华人民共和国价格法》。</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报价在合同履行过程中是固定不变的，不得以任何理由予以变更。任何包含价格调整要求的磋商，其响应文件将被认定为响应无效。</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10.5采购人不接受具有附加条件的报价。</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 报价其他情况：</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10.6.1、响应文件中首轮报价表与响应文件中相应内容不一致的,以首轮报价表为准；</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10.6.2、若大写金额和小写金额不一致的，以大写金额为准；</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10.6.3、单价金额小数点或者百分比有明显错位的，应以首轮报价表为准，并修正单价。</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10.6.4、总价金额与按单价汇总金额不一致的，以单价金额计算结果为准。</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以上规定的顺序修正。修正后的报价应当通过电子邮箱系统提交，并加盖公章，但不得超出磋商响应文件的范围或者改变磋商响应文件的实质性内容。经供应商确认后产生约束力，供应商不确认的，其磋商响应无效。</w:t>
      </w:r>
    </w:p>
    <w:p>
      <w:pPr>
        <w:snapToGrid w:val="0"/>
        <w:spacing w:line="5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11、磋商响应货币：</w:t>
      </w:r>
      <w:r>
        <w:rPr>
          <w:rFonts w:hint="eastAsia" w:asciiTheme="minorEastAsia" w:hAnsiTheme="minorEastAsia" w:eastAsiaTheme="minorEastAsia" w:cstheme="minorEastAsia"/>
          <w:sz w:val="24"/>
          <w:szCs w:val="24"/>
        </w:rPr>
        <w:t>人民币。</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12、有以下情形之一的处理：</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r>
        <w:rPr>
          <w:rFonts w:asciiTheme="minorEastAsia" w:hAnsiTheme="minorEastAsia" w:eastAsiaTheme="minorEastAsia" w:cstheme="minorEastAsia"/>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（1）提供虚假材料谋取中标、成交的；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（2）采取不正当手段诋毁、排挤其他供应商的；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（3）与采购人、其他供应商或者采购代理机构恶意串通的；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（4）向采购人、采购代理机构行贿或者提供其他不正当利益的；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（5）在招标采购过程中与采购人进行协商谈判的；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（6）拒绝有关部门监督检查或者提供虚假情况的。</w:t>
      </w:r>
    </w:p>
    <w:p>
      <w:pPr>
        <w:snapToGrid w:val="0"/>
        <w:spacing w:line="560" w:lineRule="exact"/>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供应商有前款第（1）至（5）项情形之一的，中标、成交无效。</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12.2、有下列情形之一的，其磋商响应无效：</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（1）不同供应商的磋商响应文件由同一单位或者个人编制；</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（2）不同供应商委托同一单位或者个人办理磋商响应事宜；</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（3）不同供应商的磋商响应文件载明的项目管理成员或联系人员为同一人；</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（4）不同供应商的磋商响应文件异常一致或者磋商响应报价呈规律性差异；</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（5）不同供应商的磋商响应文件相互混装。</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13、磋商有效期</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13.1、磋商有效期为从响应文件提交截止之日算起的日历天数，磋商有效期详见磋商须知前附表。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13.2、在磋商有效期内，供应商的磋商保持有效，供应商不得要求撤销或修改其响应文件。磋商有效期不满足要求的响应，其响应文件将被认定为响应无效。</w:t>
      </w:r>
    </w:p>
    <w:p>
      <w:pPr>
        <w:pStyle w:val="8"/>
        <w:snapToGrid w:val="0"/>
        <w:spacing w:line="560" w:lineRule="exact"/>
        <w:ind w:firstLine="482" w:firstLineChars="200"/>
        <w:rPr>
          <w:rFonts w:asciiTheme="minorEastAsia" w:hAnsiTheme="minorEastAsia" w:eastAsiaTheme="minorEastAsia" w:cstheme="minorEastAsia"/>
          <w:sz w:val="24"/>
          <w:szCs w:val="24"/>
        </w:rPr>
      </w:pPr>
      <w:bookmarkStart w:id="75" w:name="_Toc476584424"/>
      <w:bookmarkStart w:id="76" w:name="_Toc54941335"/>
      <w:r>
        <w:rPr>
          <w:rFonts w:hint="eastAsia" w:asciiTheme="minorEastAsia" w:hAnsiTheme="minorEastAsia" w:eastAsiaTheme="minorEastAsia" w:cstheme="minorEastAsia"/>
          <w:sz w:val="24"/>
          <w:szCs w:val="24"/>
        </w:rPr>
        <w:t>14、响应文件</w:t>
      </w:r>
      <w:bookmarkEnd w:id="75"/>
      <w:r>
        <w:rPr>
          <w:rFonts w:hint="eastAsia" w:asciiTheme="minorEastAsia" w:hAnsiTheme="minorEastAsia" w:eastAsiaTheme="minorEastAsia" w:cstheme="minorEastAsia"/>
          <w:sz w:val="24"/>
          <w:szCs w:val="24"/>
        </w:rPr>
        <w:t>提交</w:t>
      </w:r>
      <w:bookmarkEnd w:id="76"/>
      <w:r>
        <w:rPr>
          <w:rFonts w:hint="eastAsia" w:asciiTheme="minorEastAsia" w:hAnsiTheme="minorEastAsia" w:eastAsiaTheme="minorEastAsia" w:cstheme="minorEastAsia"/>
          <w:sz w:val="24"/>
          <w:szCs w:val="24"/>
        </w:rPr>
        <w:t>说明</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14.1、响应人须按磋商须知前附表要求递交密封的纸质响应文件。</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14.2、未按竞争性磋商须知要求递交的响应文件，将不被接受。</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14.3、响应人应当在响应文件提交截止时间前完成响应文件的递交，未在响应文件提交截止时间前提交密封的纸质响应文件的，不予接收，视为未提交响应文件。</w:t>
      </w:r>
    </w:p>
    <w:p>
      <w:pPr>
        <w:snapToGrid w:val="0"/>
        <w:spacing w:line="560" w:lineRule="exact"/>
        <w:ind w:firstLine="482" w:firstLineChars="200"/>
        <w:rPr>
          <w:rFonts w:asciiTheme="minorEastAsia" w:hAnsiTheme="minorEastAsia" w:eastAsiaTheme="minorEastAsia" w:cstheme="minorEastAsia"/>
          <w:b/>
          <w:sz w:val="24"/>
          <w:szCs w:val="24"/>
        </w:rPr>
      </w:pPr>
      <w:bookmarkStart w:id="77" w:name="_Toc476584425"/>
      <w:bookmarkStart w:id="78" w:name="_Toc54941336"/>
      <w:r>
        <w:rPr>
          <w:rFonts w:hint="eastAsia" w:asciiTheme="minorEastAsia" w:hAnsiTheme="minorEastAsia" w:eastAsiaTheme="minorEastAsia" w:cstheme="minorEastAsia"/>
          <w:b/>
          <w:sz w:val="24"/>
          <w:szCs w:val="24"/>
        </w:rPr>
        <w:t>15、响应文件提交截止时间</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15.1、响应人应在磋商须知前附表中约定的响应文件提交截止时间前将密封的纸质响应文件递交。逾期递交的响应文件，采购单位不予受理。</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采购人有权按本须知的约定，通过修改磋商文件相关条款以延长响应文件提交截止时间。在此情况下，采购人和响应人受响应文件提交截止时间制约的所有权利和义务均应延长至新的响应文件提交截止时间。</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16、响应文件的修改与撤回</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16.1、响应人提交响应文件以后，在约定的响应文件提交截止时间之前，可以撤回已提交的响应文件，补充修改后重新递交。</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16.2、在响应文件提交截止时间之后，供应商不得对其响应文件做任何修改。但属于磋商小组在评审过程中发现的计算错误并进行核实的修改、按照磋商文件和磋商小组的要求重新提交响应文件的，不在此列。</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16.3、在规定的磋商有效期内，响应人不得撤回其响应文件。</w:t>
      </w:r>
    </w:p>
    <w:bookmarkEnd w:id="77"/>
    <w:bookmarkEnd w:id="78"/>
    <w:p>
      <w:pPr>
        <w:snapToGrid w:val="0"/>
        <w:spacing w:line="5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17、磋商时间和地点：</w:t>
      </w:r>
      <w:r>
        <w:rPr>
          <w:rFonts w:hint="eastAsia" w:asciiTheme="minorEastAsia" w:hAnsiTheme="minorEastAsia" w:eastAsiaTheme="minorEastAsia" w:cstheme="minorEastAsia"/>
          <w:sz w:val="24"/>
          <w:szCs w:val="24"/>
        </w:rPr>
        <w:t>采购单位将在“磋商须知前附表”约定的时间，实行现场磋商，项目监督人员、所有响应人的法定代表人或其委托代理人必须准时</w:t>
      </w:r>
      <w:r>
        <w:rPr>
          <w:rFonts w:hint="eastAsia" w:asciiTheme="minorEastAsia" w:hAnsiTheme="minorEastAsia" w:eastAsiaTheme="minorEastAsia" w:cstheme="minorEastAsia"/>
          <w:sz w:val="24"/>
          <w:szCs w:val="24"/>
          <w:lang w:val="en-US" w:eastAsia="zh-CN"/>
        </w:rPr>
        <w:t>通过电子邮箱系统或</w:t>
      </w:r>
      <w:r>
        <w:rPr>
          <w:rFonts w:hint="eastAsia" w:asciiTheme="minorEastAsia" w:hAnsiTheme="minorEastAsia" w:eastAsiaTheme="minorEastAsia" w:cstheme="minorEastAsia"/>
          <w:sz w:val="24"/>
          <w:szCs w:val="24"/>
        </w:rPr>
        <w:t>到现场参加。</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18、响应文件的开启</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本项目要求响应文件实施现场拆封，</w:t>
      </w:r>
      <w:r>
        <w:rPr>
          <w:rFonts w:hint="eastAsia" w:ascii="宋体" w:hAnsi="宋体"/>
          <w:color w:val="auto"/>
          <w:sz w:val="24"/>
          <w:szCs w:val="24"/>
          <w:highlight w:val="none"/>
          <w:lang w:val="en-US" w:eastAsia="zh-CN"/>
        </w:rPr>
        <w:t>二轮报价</w:t>
      </w:r>
      <w:r>
        <w:rPr>
          <w:rFonts w:hint="eastAsia" w:asciiTheme="minorEastAsia" w:hAnsiTheme="minorEastAsia" w:eastAsiaTheme="minorEastAsia" w:cstheme="minorEastAsia"/>
          <w:sz w:val="24"/>
          <w:szCs w:val="24"/>
        </w:rPr>
        <w:t>响应人需</w:t>
      </w:r>
      <w:r>
        <w:rPr>
          <w:rFonts w:hint="eastAsia" w:asciiTheme="minorEastAsia" w:hAnsiTheme="minorEastAsia" w:eastAsiaTheme="minorEastAsia" w:cstheme="minorEastAsia"/>
          <w:sz w:val="24"/>
          <w:szCs w:val="24"/>
          <w:lang w:val="en-US" w:eastAsia="zh-CN"/>
        </w:rPr>
        <w:t>通过电子邮箱系统或</w:t>
      </w:r>
      <w:r>
        <w:rPr>
          <w:rFonts w:hint="eastAsia" w:asciiTheme="minorEastAsia" w:hAnsiTheme="minorEastAsia" w:eastAsiaTheme="minorEastAsia" w:cstheme="minorEastAsia"/>
          <w:sz w:val="24"/>
          <w:szCs w:val="24"/>
        </w:rPr>
        <w:t>到现场参加磋商活动。</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18.1 采购人和采购代理机构将按磋商须知前附表中规定的磋商时间和地点组织磋商。 </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18.2 采购人或采购代理机构将对响应文件开启过程进行记录，并存档备查。 </w:t>
      </w:r>
    </w:p>
    <w:p>
      <w:pPr>
        <w:snapToGrid w:val="0"/>
        <w:spacing w:line="560" w:lineRule="exact"/>
        <w:ind w:left="420" w:left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19、响应文件的有效性</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19.1、磋商过程中发现有下列情况的，由磋商小组评审后，认定为响应无效：</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（1）响应文件未按照磋商文件规定的格式进行编制或未按照磋商文件规定的要求进行签署、盖章的；</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（2）不具备磋商文件中规定的资格要求的； </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（3）报价超过磋商文件中规定的预算金额或者最高限价的； </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（4）响应文件含有采购人不能接受的附加条件的； </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（5）法律、法规和磋商文件规定的其他无效情形。</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19.2、供应商存在下列情形之一，经磋商小组评审后，认定为响应无效：</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(1)被责令停业且处于有效期内的；</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(2)财产被接管或冻结可能影响本项目正常实施的；</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(3)法律、法规规定及磋商文件约定的其他情形。</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bookmarkStart w:id="79" w:name="_Toc476584426"/>
      <w:bookmarkStart w:id="80" w:name="_Toc54941337"/>
      <w:r>
        <w:rPr>
          <w:rFonts w:hint="eastAsia" w:asciiTheme="minorEastAsia" w:hAnsiTheme="minorEastAsia" w:eastAsiaTheme="minorEastAsia" w:cstheme="minorEastAsia"/>
          <w:sz w:val="24"/>
          <w:szCs w:val="24"/>
        </w:rPr>
        <w:t>19.3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pPr>
        <w:pStyle w:val="8"/>
        <w:snapToGrid w:val="0"/>
        <w:spacing w:line="560" w:lineRule="exact"/>
        <w:ind w:firstLine="472"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bookmarkEnd w:id="79"/>
      <w:bookmarkEnd w:id="80"/>
      <w:r>
        <w:rPr>
          <w:rFonts w:hint="eastAsia" w:asciiTheme="minorEastAsia" w:hAnsiTheme="minorEastAsia" w:eastAsiaTheme="minorEastAsia" w:cstheme="minorEastAsia"/>
          <w:sz w:val="24"/>
          <w:szCs w:val="24"/>
        </w:rPr>
        <w:t>磋商小组</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20.1 本项目将依法组建磋商小组，磋商小组成员由 3 人以上单数组成，磋商小组及其成员应当依照政府采购的有关规定履行相关职责和义务。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20.2 磋商小组依法对响应文件进行评审，并根据磋商文件规定的程序、评定成交的标准等事项与实质性响应磋商文件要求的供应商进行磋商。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20.3 磋商小组应当从质量和服务均能满足磋商文件实质性响应要求的供应商中，按照评审方法和标准推荐成交候选供应商，并编写评审报告。</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21响应文件的评审和磋商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21.1 采购人和采购代理机构将在磋商须知前附表规定的时间和地点组织磋商。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21.2 竞争性磋商活动采用综合评分法评审。</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综合评分法，是指响应文件满足磋商文件全部实质性要求且按评审因素的量化指标评审得分最高的供应商为成交候选供应商的评审方法。</w:t>
      </w:r>
    </w:p>
    <w:p>
      <w:pPr>
        <w:snapToGrid w:val="0"/>
        <w:spacing w:line="560" w:lineRule="exact"/>
        <w:ind w:left="420" w:left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 磋商小组将按照磋商文件规定的评审方法和标准对供应商独立进行评审。评审程序如下： 21.3.1 初审。磋商小组对供应商必须满足和实质性响应的内容进行评</w:t>
      </w:r>
    </w:p>
    <w:p>
      <w:pPr>
        <w:snapToGrid w:val="0"/>
        <w:spacing w:line="56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审，供应商未实质性响应磋商文件要求导致响应无效的，磋商小组将以书面询标的方式告知有关供应商。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磋商小组将在响应文件提交截止时间后至评审结束前查询供应商的信用记录。供应商存在不良信用记录的，其响应文件将被认定为响应无效。</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21.3.1.1 不良信用记录指：（1）供应商被人民法院列入失信被执行人；（</w:t>
      </w:r>
      <w:r>
        <w:rPr>
          <w:rFonts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rPr>
        <w:t>）供应商被工商行政管理部门列入企业经营异常名录；（</w:t>
      </w:r>
      <w:r>
        <w:rPr>
          <w:rFonts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sz w:val="24"/>
          <w:szCs w:val="24"/>
        </w:rPr>
        <w:t>）供应商被税务部门列入重大税收违法案件当事人名单；（</w:t>
      </w:r>
      <w:r>
        <w:rPr>
          <w:rFonts w:asciiTheme="minorEastAsia" w:hAnsiTheme="minorEastAsia" w:eastAsiaTheme="minorEastAsia" w:cstheme="minorEastAsia"/>
          <w:bCs/>
          <w:sz w:val="24"/>
          <w:szCs w:val="24"/>
        </w:rPr>
        <w:t>4</w:t>
      </w:r>
      <w:r>
        <w:rPr>
          <w:rFonts w:hint="eastAsia" w:asciiTheme="minorEastAsia" w:hAnsiTheme="minorEastAsia" w:eastAsiaTheme="minorEastAsia" w:cstheme="minorEastAsia"/>
          <w:bCs/>
          <w:sz w:val="24"/>
          <w:szCs w:val="24"/>
        </w:rPr>
        <w:t xml:space="preserve">）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磋商将被认定为响应无效。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21.3.1.2 信用信息查询渠道：中国政府采购网（www.ccgp.gov.cn）、“信用中国 ”网站 （ www.creditchina.gov.cn ）、</w:t>
      </w:r>
      <w:r>
        <w:rPr>
          <w:rFonts w:ascii="宋体" w:hAnsi="宋体" w:cs="宋体"/>
          <w:sz w:val="24"/>
          <w:szCs w:val="24"/>
        </w:rPr>
        <w:t>国家企业信用信息公示系统（www.gsxt.gov.cn）。</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21.3.1.3 信用信息记录方式：供应商不良信用记录以磋商小组查询结果为准。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在本磋商文件规定的查询时间之外，网站信息发生的任何变更均不作为初审依据。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供应商自行提供的与网站信息不一致的其他证明材料亦不作为初审审查依据。</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21.3.2 磋商。初审合格后，磋商小组将按响应文件提交顺序集中与单一供应商分别进行磋商，并给予所有参加磋商的供应商平等的磋商机会。</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21.3.3 报价。磋商结束后，磋商小组应当要求所有实质性响应的供应商在规定时间内提交最后报价。</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21.4 相关说明。</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21.4.1 为保证磋商活动顺利进行，供应商可派相关技术人员进行现场答疑；</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21.4.2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21.4.3 磋商小组认为供应商的报价明显低于其他通过符合性审查供应商的报价，有可能影响产品质量或者不能诚信履约的，应当要求其在评标现场磋商小组规定的时间内(30分钟内，以询标函发出时间为准)提供书面说明，必要时提交相关证明材料；供应商不能证明其报价合理性的，磋商小组应当将其作为无效投标处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21.4.4 无论何种原因，即使供应商磋商时携带了证书材料的原件，但响应文件中未提供与之内容完全一致的扫描件的，磋商小组可以视同其未提供。</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21.4.5 磋商小组决定响应文件的响应性及符合性只根据响应文件本身的内容，而不寻求其他外部证据。</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21.5 供应商授权代表对磋商过程有疑义，以及认为采购人、采购代理机构相关工作人员有需要回避的情形的，应当场提出询问或者回避申请，并说明理由。</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22.终止竞争性磋商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22.1 出现下列情况之一时，采购人和采购代理机构有权宣布终止竞争性磋商采购，并将理由通知所有供应商：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（1）有效供应商数量不足，导致本次磋商缺乏竞争的；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（2）出现影响采购公正的违法、违规行为的；</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（3）因重大变故，采购任务取消的；</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（4）政府采购法律法规规定的其他情形。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23.响应文件的澄清、说明或更正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23.1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pPr>
        <w:snapToGrid w:val="0"/>
        <w:spacing w:line="560" w:lineRule="exact"/>
        <w:ind w:firstLine="480" w:firstLineChars="200"/>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Cs/>
          <w:sz w:val="24"/>
          <w:szCs w:val="24"/>
        </w:rPr>
        <w:t>23.2 磋商小组要求供应商澄清、说明或者更正响应文件应在</w:t>
      </w:r>
      <w:r>
        <w:rPr>
          <w:rFonts w:hint="eastAsia" w:asciiTheme="minorEastAsia" w:hAnsiTheme="minorEastAsia" w:eastAsiaTheme="minorEastAsia" w:cstheme="minorEastAsia"/>
          <w:sz w:val="24"/>
          <w:szCs w:val="24"/>
        </w:rPr>
        <w:t>磋商小组规定的时间内(30分钟内，以询标函发出时间为准)</w:t>
      </w:r>
      <w:r>
        <w:rPr>
          <w:rFonts w:hint="eastAsia" w:asciiTheme="minorEastAsia" w:hAnsiTheme="minorEastAsia" w:eastAsiaTheme="minorEastAsia" w:cstheme="minorEastAsia"/>
          <w:bCs/>
          <w:sz w:val="24"/>
          <w:szCs w:val="24"/>
        </w:rPr>
        <w:t>以书面形式（询标）作出。供应商的澄清、说明或者更正应当由法定代表人或其授权代表签字或者加盖公章。</w:t>
      </w:r>
      <w:r>
        <w:rPr>
          <w:rFonts w:hint="eastAsia" w:asciiTheme="minorEastAsia" w:hAnsiTheme="minorEastAsia" w:eastAsiaTheme="minorEastAsia" w:cstheme="minorEastAsia"/>
          <w:kern w:val="0"/>
          <w:sz w:val="24"/>
          <w:szCs w:val="24"/>
          <w:lang w:bidi="ar"/>
        </w:rPr>
        <w:t xml:space="preserve"> </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如有询标，授权代表（或法定代表人）可通过邮箱登录的方式接受网上询标。因授权代表联系不上、没有及时登录邮箱等情形而无法接受磋商小组询标的，供应商自行承担相关风险。</w:t>
      </w:r>
    </w:p>
    <w:p>
      <w:pPr>
        <w:widowControl/>
        <w:snapToGrid w:val="0"/>
        <w:spacing w:line="560" w:lineRule="exact"/>
        <w:ind w:firstLine="241"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  24.最后报价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24.1磋商并不限定只进行二轮报价，如果磋商小组认为有必要，可以要求供应商进行多轮报价。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w:t>
      </w:r>
      <w:r>
        <w:rPr>
          <w:rFonts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rPr>
        <w:t xml:space="preserve"> 最后报价是供应商响应文件的有效组成部分，最后报价也是签订合同的依据。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24.</w:t>
      </w:r>
      <w:r>
        <w:rPr>
          <w:rFonts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sz w:val="24"/>
          <w:szCs w:val="24"/>
        </w:rPr>
        <w:t>供应商提交的最后报价表的格式、填写、盖章须符合磋商文件的要求。如供应商未在规定时间内（30分钟内）提交最后报价，则视为供应商自愿退出磋商。</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w:t>
      </w:r>
      <w:r>
        <w:rPr>
          <w:rFonts w:asciiTheme="minorEastAsia" w:hAnsiTheme="minorEastAsia" w:eastAsiaTheme="minorEastAsia" w:cstheme="minorEastAsia"/>
          <w:bCs/>
          <w:sz w:val="24"/>
          <w:szCs w:val="24"/>
        </w:rPr>
        <w:t>4</w:t>
      </w:r>
      <w:r>
        <w:rPr>
          <w:rFonts w:hint="eastAsia" w:asciiTheme="minorEastAsia" w:hAnsiTheme="minorEastAsia" w:eastAsiaTheme="minorEastAsia" w:cstheme="minorEastAsia"/>
          <w:bCs/>
          <w:sz w:val="24"/>
          <w:szCs w:val="24"/>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sz w:val="24"/>
          <w:szCs w:val="24"/>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Cs/>
          <w:sz w:val="24"/>
          <w:szCs w:val="24"/>
        </w:rPr>
        <w:t xml:space="preserve">组成联合体或者接受分包的小微企业与联合体内其他企业、分包企业之间存在直接控股、管理关系的，不享受价格扣除优惠政策。以联合体形式参加政府采购活动，联合体各方均为中小企业的，联合体视同中小企业。其中，联合体各方均为小微企业的，联合体视同小微企业。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25.成交候选供应商的推荐原则及标准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25.1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26.确定成交候选供应商和成交供应商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26.1 磋商小组根据综合评分的结果和磋商须知前附表中规定确定成交候选供应商，并标明排列顺序。排名第一的成交候选供应商经采购人或采购人授权的磋商小组确定为成交供应商后，由采购代理机构在指定媒体上予以公告。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27.编写评审报告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27.1 评审报告是根据全体磋商小组成员签字的原始评审记录和评审结果编写的报告，评审报告由磋商小组全体成员签章（或签字）。对评审结论持有异议的磋商小组成员可以书面方式阐述其不同意见和理由。磋商小组成员拒绝在评审报告上签章（或签字）且不陈述其不同意见和理由的，视为同意评审结论。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28.保密要求</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28.1 评审将在严格保密的情况下进行。 </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28.2 有关人员应当遵守评审工作纪律，不得泄露评审文件、评审情况和评审 中获悉的国家秘密、商业秘密。</w:t>
      </w:r>
      <w:r>
        <w:rPr>
          <w:rFonts w:hint="eastAsia" w:asciiTheme="minorEastAsia" w:hAnsiTheme="minorEastAsia" w:eastAsiaTheme="minorEastAsia" w:cstheme="minorEastAsia"/>
          <w:kern w:val="0"/>
          <w:sz w:val="24"/>
          <w:szCs w:val="24"/>
          <w:lang w:bidi="ar"/>
        </w:rPr>
        <w:t xml:space="preserve">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29.成交结果公告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29.1 为体现“公开、公平、公正”的原则，磋商结束后，采购代理机构将在</w:t>
      </w:r>
      <w:r>
        <w:rPr>
          <w:rFonts w:hint="eastAsia" w:asciiTheme="minorEastAsia" w:hAnsiTheme="minorEastAsia" w:eastAsiaTheme="minorEastAsia" w:cstheme="minorEastAsia"/>
          <w:bCs/>
          <w:sz w:val="24"/>
          <w:szCs w:val="24"/>
          <w:lang w:eastAsia="zh-CN"/>
        </w:rPr>
        <w:t>安徽泰杰工程咨询有限公司网站</w:t>
      </w:r>
      <w:r>
        <w:rPr>
          <w:rFonts w:hint="eastAsia" w:asciiTheme="minorEastAsia" w:hAnsiTheme="minorEastAsia" w:eastAsiaTheme="minorEastAsia" w:cstheme="minorEastAsia"/>
          <w:bCs/>
          <w:sz w:val="24"/>
          <w:szCs w:val="24"/>
        </w:rPr>
        <w:t>等网站上公告成交结果。</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sz w:val="24"/>
          <w:szCs w:val="24"/>
        </w:rPr>
        <w:t>的名称、品牌（如有）、规格型号、数量、单价</w:t>
      </w:r>
      <w:r>
        <w:rPr>
          <w:rFonts w:hint="eastAsia" w:asciiTheme="minorEastAsia" w:hAnsiTheme="minorEastAsia" w:eastAsiaTheme="minorEastAsia" w:cstheme="minorEastAsia"/>
          <w:bCs/>
          <w:sz w:val="24"/>
          <w:szCs w:val="24"/>
        </w:rPr>
        <w:t xml:space="preserve">，成交结果公告期限、评审专家名单以及磋商须知前附表中约定进行公告的内容。 </w:t>
      </w:r>
    </w:p>
    <w:p>
      <w:pPr>
        <w:snapToGrid w:val="0"/>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30.成交通知书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30.1 采购代理机构发布成交结果公告的同时以磋商须知前附表规定的形式向成交供应商发出成交通知书。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30.2 成交通知书对采购人和成交供应商具有同等法律效力。成交通知书发出以后，采购人改变成交结果或者成交供应商放弃成交资格，应当承担相应的法律责任。</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30.3 成交通知书是合同的组成部分。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31.告知磋商结果 </w:t>
      </w:r>
    </w:p>
    <w:p>
      <w:pPr>
        <w:snapToGrid w:val="0"/>
        <w:spacing w:line="560" w:lineRule="exact"/>
        <w:ind w:firstLine="480" w:firstLineChars="200"/>
        <w:rPr>
          <w:rFonts w:ascii="宋体" w:hAnsi="宋体" w:cs="宋体"/>
          <w:sz w:val="24"/>
          <w:szCs w:val="24"/>
        </w:rPr>
      </w:pPr>
      <w:r>
        <w:rPr>
          <w:rFonts w:hint="eastAsia" w:asciiTheme="minorEastAsia" w:hAnsiTheme="minorEastAsia" w:eastAsiaTheme="minorEastAsia" w:cstheme="minorEastAsia"/>
          <w:bCs/>
          <w:sz w:val="24"/>
          <w:szCs w:val="24"/>
        </w:rPr>
        <w:t xml:space="preserve">31.1 </w:t>
      </w:r>
      <w:r>
        <w:rPr>
          <w:rFonts w:ascii="宋体" w:hAnsi="宋体" w:cs="宋体"/>
          <w:sz w:val="24"/>
          <w:szCs w:val="24"/>
        </w:rPr>
        <w:t>在公告成交结果的同时，采购代理机构将公告供应商的评审得分和排序。</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31.2 采购代理机构对未成交的供应商不做未成交原因的解释。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32.履约保证金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32.1 成交供应商应按照磋商须知前附表规定缴纳履约保证金。</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32.2 如果成交供应商没有按照上述履约保证金的规定执行，将视为放弃成交资格。</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33.成交服务费 </w:t>
      </w:r>
    </w:p>
    <w:p>
      <w:pPr>
        <w:widowControl/>
        <w:snapToGrid w:val="0"/>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33.1 本项目成交服务费的收取按磋商须知前附表的规定执行。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 xml:space="preserve">34.签订合同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34.1 采购人与成交供应商应当自发出成交通知书之日起7个工作日内签订合同，采购合同签订之日起2个工作日内完成政府采购合同公开。</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34.2 磋商文件、成交供应商的响应文件及其澄清文件等，均为签订合同的依据。</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34.3 成交供应商拒绝与采购人签订合同的，采购人可以按照评审报告推荐的成交候选供应商名单排序，确定下一成交候选供应商为成交供应商，也可以重新开展采购活动。</w:t>
      </w:r>
    </w:p>
    <w:p>
      <w:pPr>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34.4 依据《政府采购促进中小企业发展管理办法》（财库〔2020〕46 号）规定享受扶持政策获得政府采购合同的，小微企业不得将合同分包给大中型企业，中型企业不得将合同分包给大型企业。 </w:t>
      </w:r>
    </w:p>
    <w:p>
      <w:pPr>
        <w:widowControl/>
        <w:snapToGrid w:val="0"/>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35.质疑和投诉</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35.1 供应商认为磋商文件、采购过程和成交结果使自己的权益受到损害的，可以在知道或者应知其权益受到损害之日起七个工作日内，以书面形式向采购人或其委托的采购代理机构提出质疑。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35.2 上述应知其权益受到损害之日，是指：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（1）对磋商文件提出质疑的，为磋商文件公告期限届满之日；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（2）对采购过程提出质疑的，为各采购程序环节结束之日； </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（3）对成交结果提出质疑的，为成交结果公告期限届满之日。</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35.3 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pPr>
        <w:snapToGrid w:val="0"/>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35.4 采购代理机构质疑函接收部门、联系电话和通讯地址，见供应商须知前附表。 </w:t>
      </w:r>
    </w:p>
    <w:p>
      <w:pPr>
        <w:pStyle w:val="8"/>
        <w:snapToGrid w:val="0"/>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35.5质疑供应商对采购人、采购代理机构的答复不满意，或采购人、采购代理机构未在规定时间内做出答复的，可以在答复期满后15个工作日内向磋商须知前附表列明的监管部门提起投诉。</w:t>
      </w:r>
    </w:p>
    <w:p>
      <w:pPr>
        <w:widowControl/>
        <w:snapToGrid w:val="0"/>
        <w:spacing w:line="560" w:lineRule="exact"/>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36、未尽事宜</w:t>
      </w:r>
    </w:p>
    <w:p>
      <w:pPr>
        <w:widowControl/>
        <w:snapToGrid w:val="0"/>
        <w:spacing w:line="560" w:lineRule="exact"/>
        <w:ind w:firstLine="48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按《中华人民共和国政府采购法》《中华人民共和国政府采购法实施条例》及其他有关法律法规规定执行。需要补充的其他内容，见磋商须知前附表。</w:t>
      </w:r>
    </w:p>
    <w:p>
      <w:pPr>
        <w:widowControl/>
        <w:snapToGrid w:val="0"/>
        <w:spacing w:line="560" w:lineRule="exact"/>
        <w:ind w:firstLine="480" w:firstLineChars="200"/>
        <w:jc w:val="left"/>
        <w:rPr>
          <w:rFonts w:asciiTheme="minorEastAsia" w:hAnsiTheme="minorEastAsia" w:eastAsiaTheme="minorEastAsia" w:cstheme="minorEastAsia"/>
          <w:bCs/>
          <w:sz w:val="24"/>
          <w:szCs w:val="24"/>
        </w:rPr>
        <w:sectPr>
          <w:footerReference r:id="rId5" w:type="default"/>
          <w:pgSz w:w="11906" w:h="16838"/>
          <w:pgMar w:top="1418" w:right="1418" w:bottom="1276" w:left="1418" w:header="680" w:footer="680" w:gutter="0"/>
          <w:pgNumType w:start="1"/>
          <w:cols w:space="720" w:num="1"/>
          <w:docGrid w:type="lines" w:linePitch="312" w:charSpace="0"/>
        </w:sectPr>
      </w:pPr>
    </w:p>
    <w:p>
      <w:pPr>
        <w:pStyle w:val="74"/>
        <w:ind w:left="0" w:leftChars="0" w:firstLine="0" w:firstLineChars="0"/>
        <w:jc w:val="center"/>
        <w:outlineLvl w:val="0"/>
        <w:rPr>
          <w:rFonts w:hint="default" w:ascii="宋体" w:hAnsi="宋体" w:cs="宋体"/>
          <w:b/>
          <w:bCs w:val="0"/>
          <w:color w:val="auto"/>
          <w:sz w:val="30"/>
          <w:szCs w:val="30"/>
          <w:highlight w:val="none"/>
          <w:lang w:val="en-US" w:eastAsia="zh-CN"/>
        </w:rPr>
      </w:pPr>
      <w:bookmarkStart w:id="81" w:name="_Toc12353"/>
      <w:r>
        <w:rPr>
          <w:rFonts w:hint="eastAsia" w:ascii="Arial" w:hAnsi="Arial"/>
          <w:b/>
          <w:bCs/>
          <w:color w:val="auto"/>
          <w:kern w:val="2"/>
          <w:sz w:val="32"/>
          <w:szCs w:val="32"/>
          <w:highlight w:val="none"/>
          <w:lang w:val="en-US" w:eastAsia="zh-CN"/>
        </w:rPr>
        <w:t>第三章</w:t>
      </w:r>
      <w:r>
        <w:rPr>
          <w:rFonts w:hint="eastAsia" w:ascii="Arial" w:hAnsi="Arial"/>
          <w:color w:val="auto"/>
          <w:kern w:val="2"/>
          <w:sz w:val="32"/>
          <w:szCs w:val="32"/>
          <w:highlight w:val="none"/>
          <w:lang w:val="en-US" w:eastAsia="zh-CN"/>
        </w:rPr>
        <w:t xml:space="preserve"> </w:t>
      </w:r>
      <w:r>
        <w:rPr>
          <w:rFonts w:hint="eastAsia" w:ascii="宋体" w:hAnsi="宋体" w:cs="宋体"/>
          <w:b/>
          <w:bCs w:val="0"/>
          <w:color w:val="auto"/>
          <w:sz w:val="30"/>
          <w:szCs w:val="30"/>
          <w:highlight w:val="none"/>
          <w:lang w:val="en-US" w:eastAsia="zh-CN"/>
        </w:rPr>
        <w:t>采购需求</w:t>
      </w:r>
      <w:bookmarkEnd w:id="81"/>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1、在采购活动开始前没有获准采购进口产品而开展采购活动的，视同为拒绝采购进口产品。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w:t>
      </w:r>
      <w:r>
        <w:rPr>
          <w:rFonts w:hint="eastAsia" w:ascii="宋体" w:hAnsi="宋体"/>
          <w:b/>
          <w:bCs/>
          <w:color w:val="auto"/>
          <w:szCs w:val="21"/>
          <w:highlight w:val="none"/>
          <w:lang w:val="en-US" w:eastAsia="zh-CN"/>
        </w:rPr>
        <w:t>等</w:t>
      </w:r>
      <w:r>
        <w:rPr>
          <w:rFonts w:hint="eastAsia" w:ascii="宋体" w:hAnsi="宋体"/>
          <w:b/>
          <w:bCs/>
          <w:color w:val="auto"/>
          <w:szCs w:val="21"/>
          <w:highlight w:val="none"/>
        </w:rPr>
        <w:t>相关规定：下列采购需求中标注进口产品的货物均已履行相关论证手续，经核准采购进口产品，但不限制满足</w:t>
      </w:r>
      <w:r>
        <w:rPr>
          <w:rFonts w:hint="eastAsia" w:ascii="宋体" w:hAnsi="宋体"/>
          <w:b/>
          <w:bCs/>
          <w:color w:val="auto"/>
          <w:szCs w:val="21"/>
          <w:highlight w:val="none"/>
          <w:lang w:eastAsia="zh-CN"/>
        </w:rPr>
        <w:t>磋商文件</w:t>
      </w:r>
      <w:r>
        <w:rPr>
          <w:rFonts w:hint="eastAsia" w:ascii="宋体" w:hAnsi="宋体"/>
          <w:b/>
          <w:bCs/>
          <w:color w:val="auto"/>
          <w:szCs w:val="21"/>
          <w:highlight w:val="none"/>
        </w:rPr>
        <w:t>要求的国内产品参与竞争。未标注进口产品的货物均为拒绝采购进口产品。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下列采购需求中：如属于《节能产品政府采购品目清单》中政府强制采购 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 节能产品认证机构目录》中的认证机构出具的、处于有效期内的节能产品认证证书。</w:t>
      </w:r>
    </w:p>
    <w:p>
      <w:pPr>
        <w:ind w:firstLine="422" w:firstLineChars="200"/>
        <w:rPr>
          <w:rFonts w:ascii="宋体" w:hAnsi="宋体"/>
          <w:b/>
          <w:bCs/>
          <w:color w:val="auto"/>
          <w:szCs w:val="21"/>
          <w:highlight w:val="none"/>
        </w:rPr>
      </w:pPr>
    </w:p>
    <w:p>
      <w:pPr>
        <w:ind w:firstLine="422" w:firstLineChars="200"/>
        <w:rPr>
          <w:rFonts w:ascii="宋体" w:hAnsi="宋体"/>
          <w:b/>
          <w:bCs/>
          <w:color w:val="auto"/>
          <w:szCs w:val="21"/>
          <w:highlight w:val="none"/>
        </w:rPr>
      </w:pPr>
      <w:r>
        <w:rPr>
          <w:rFonts w:hint="eastAsia" w:ascii="宋体" w:hAnsi="宋体"/>
          <w:b/>
          <w:bCs/>
          <w:color w:val="auto"/>
          <w:szCs w:val="21"/>
          <w:highlight w:val="none"/>
        </w:rPr>
        <w:t>一、商务要求：</w:t>
      </w:r>
    </w:p>
    <w:tbl>
      <w:tblPr>
        <w:tblStyle w:val="60"/>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pPr>
              <w:pStyle w:val="3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商务条款名称</w:t>
            </w:r>
          </w:p>
          <w:p>
            <w:pPr>
              <w:rPr>
                <w:color w:val="auto"/>
                <w:highlight w:val="none"/>
              </w:rPr>
            </w:pPr>
          </w:p>
        </w:tc>
        <w:tc>
          <w:tcPr>
            <w:tcW w:w="5170"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5" w:hRule="atLeast"/>
          <w:jc w:val="center"/>
        </w:trPr>
        <w:tc>
          <w:tcPr>
            <w:tcW w:w="80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pPr>
              <w:jc w:val="left"/>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1、分批供货，根据每月实际使用量入账，按采购人规定（6个月后）结算。</w:t>
            </w:r>
          </w:p>
          <w:p>
            <w:pPr>
              <w:jc w:val="lef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2、采购人付款前，成交人应向采购人开具等额有效的增值税发票，成交人开票载明主体需与合同主体一致，采购人未收到发票或收到发票与合同主体不一致的，有权不予支付相应款项直至成交人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供货及安装地点</w:t>
            </w:r>
          </w:p>
        </w:tc>
        <w:tc>
          <w:tcPr>
            <w:tcW w:w="5170" w:type="dxa"/>
            <w:vAlign w:val="center"/>
          </w:tcPr>
          <w:p>
            <w:pPr>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供货及安装期限</w:t>
            </w:r>
          </w:p>
        </w:tc>
        <w:tc>
          <w:tcPr>
            <w:tcW w:w="5170" w:type="dxa"/>
            <w:vAlign w:val="center"/>
          </w:tcPr>
          <w:p>
            <w:pPr>
              <w:jc w:val="lef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自合同签订之日起1年为准，在供货期内按照采购人的要求分批供货，据实结算。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170" w:type="dxa"/>
            <w:vAlign w:val="center"/>
          </w:tcPr>
          <w:p>
            <w:pPr>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91" w:type="dxa"/>
            <w:vAlign w:val="center"/>
          </w:tcPr>
          <w:p>
            <w:pPr>
              <w:jc w:val="center"/>
              <w:rPr>
                <w:rFonts w:hint="eastAsia" w:ascii="宋体" w:hAnsi="宋体" w:eastAsia="宋体" w:cs="Times New Roman"/>
                <w:color w:val="auto"/>
                <w:kern w:val="2"/>
                <w:sz w:val="24"/>
                <w:highlight w:val="none"/>
                <w:lang w:val="en-US" w:eastAsia="zh-CN" w:bidi="ar-SA"/>
              </w:rPr>
            </w:pPr>
            <w:r>
              <w:rPr>
                <w:rFonts w:ascii="sans-serif" w:hAnsi="sans-serif" w:eastAsia="sans-serif" w:cs="sans-serif"/>
                <w:color w:val="auto"/>
                <w:sz w:val="24"/>
                <w:szCs w:val="24"/>
                <w:highlight w:val="none"/>
              </w:rPr>
              <w:t>商品包装要求</w:t>
            </w:r>
          </w:p>
        </w:tc>
        <w:tc>
          <w:tcPr>
            <w:tcW w:w="5170" w:type="dxa"/>
            <w:vAlign w:val="center"/>
          </w:tcPr>
          <w:p>
            <w:pPr>
              <w:jc w:val="left"/>
              <w:rPr>
                <w:rFonts w:cs="Times New Roman" w:asciiTheme="minorEastAsia" w:hAnsiTheme="minorEastAsia" w:eastAsiaTheme="minorEastAsia"/>
                <w:color w:val="auto"/>
                <w:kern w:val="2"/>
                <w:sz w:val="24"/>
                <w:highlight w:val="none"/>
                <w:lang w:val="en-US" w:eastAsia="zh-CN" w:bidi="ar-SA"/>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r>
              <w:rPr>
                <w:rFonts w:ascii="宋体" w:hAnsi="宋体" w:eastAsia="宋体" w:cs="宋体"/>
                <w:color w:val="auto"/>
                <w:sz w:val="24"/>
                <w:szCs w:val="24"/>
                <w:highlight w:val="none"/>
              </w:rPr>
              <w:br w:type="textWrapping"/>
            </w:r>
            <w:r>
              <w:rPr>
                <w:rFonts w:hint="default" w:ascii="sans-serif" w:hAnsi="sans-serif" w:eastAsia="sans-serif" w:cs="sans-serif"/>
                <w:color w:val="auto"/>
                <w:sz w:val="24"/>
                <w:szCs w:val="24"/>
                <w:highlight w:val="none"/>
              </w:rPr>
              <w:t>严格按照国家强制标准执行。</w:t>
            </w:r>
          </w:p>
        </w:tc>
      </w:tr>
    </w:tbl>
    <w:p>
      <w:pPr>
        <w:ind w:firstLine="422" w:firstLineChars="200"/>
        <w:rPr>
          <w:rFonts w:ascii="宋体" w:hAnsi="宋体"/>
          <w:b/>
          <w:bCs/>
          <w:color w:val="auto"/>
          <w:szCs w:val="21"/>
          <w:highlight w:val="none"/>
        </w:rPr>
      </w:pPr>
    </w:p>
    <w:p>
      <w:pPr>
        <w:pStyle w:val="8"/>
        <w:ind w:firstLine="413" w:firstLineChars="196"/>
        <w:rPr>
          <w:rFonts w:hint="eastAsia" w:hAnsi="宋体"/>
          <w:bCs/>
          <w:color w:val="auto"/>
          <w:szCs w:val="24"/>
          <w:highlight w:val="none"/>
        </w:rPr>
      </w:pPr>
    </w:p>
    <w:p>
      <w:pPr>
        <w:pStyle w:val="8"/>
        <w:ind w:firstLine="413" w:firstLineChars="196"/>
        <w:rPr>
          <w:rFonts w:hAnsi="宋体"/>
          <w:bCs/>
          <w:color w:val="auto"/>
          <w:szCs w:val="24"/>
          <w:highlight w:val="none"/>
        </w:rPr>
      </w:pPr>
      <w:r>
        <w:rPr>
          <w:rFonts w:hint="eastAsia" w:hAnsi="宋体"/>
          <w:bCs/>
          <w:color w:val="auto"/>
          <w:szCs w:val="24"/>
          <w:highlight w:val="none"/>
        </w:rPr>
        <w:t>二、技术要求一览表</w:t>
      </w:r>
    </w:p>
    <w:tbl>
      <w:tblPr>
        <w:tblStyle w:val="60"/>
        <w:tblW w:w="10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117"/>
        <w:gridCol w:w="5400"/>
        <w:gridCol w:w="600"/>
        <w:gridCol w:w="90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动脉鞘</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直径5-11F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直径5-8F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161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造影导管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直径4-6F，多种弯型，满足冠脉、外周血管等造影需要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直径4-6F，多种弯型，满足冠脉、外周血管等造影需要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55.7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亲水涂层造影导管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4-8F，导管表面附有亲水涂层，满足冠脉、外周血管等造影需要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270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造影导丝</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0.035系统，长度150cm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78.62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一次性使用连通板</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由连通板体(聚碳酸酯)、手柄(乙缩螯)、旋转体连接器接由连通板体(聚碳酸酯)、手柄(乙缩螯)、旋转体连接器接DEHP)组成，其中使用的粘合剂为丙烯酸酯聚氨酯。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81.9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一次性使用冠状动脉造影注射器</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本产品由注射筒,芯杆,活塞,固定鲁尔接头或旋转鲁尔接头,锁紧环),0型环和固定体帽组成。配有不同类型的手柄和指环。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88.2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压力延长管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本品采用聚氯乙烯材料制成，由管路和接头组成，长度30cm/122cm。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58.5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血管成型术用套件</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包括止血阀、导引导丝插入工具和转矩器械。止血阀主要由聚碳酸酯、硅树脂、聚四氟乙烯、ABS等材料制成。导引导丝插入工具根据导引器材质不同分为不锈钢和树脂两类。转矩器械的材料为聚丙烯和聚碳酸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238.5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充盈压力泵系统</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该产品为无源器械，包括以下组成部分：30ATM压力泵、33cm延长管、三通阀、Access-9止血阀、Access Plus止血阀、MBA止血阀、Honor长止血阀、20cm延长管、导丝导入工具、转矩器械。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有创压力传感器</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该产品由灌注器(保护套、瓶塞穿刺器、药液过滤器、滴斗、流量调节器)、电缆、电缆接头、灌注阀、压力传感器感应元件、压力腔、三通、堵帽、传输管路、保护帽组成。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亲水涂层导丝</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0.035系统，长度150cm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183.6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0.035系统，长度260cm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270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延长导管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该产品由一体化的半管、延伸套管、推杆与座片组成。由尼龙弹性体、聚四氟乙烯、304V不锈钢制成。延伸套管部分含有硅树脂与铂铱合金标记带。产品直径5F/5.5F/6F/7F/8F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该产品采用快速交换设计，由远端交换导管、斜口、推杆和手柄组成。交换导管尖端内含显影示标环。产品涂有亲水涂层。产品直径5F/5.5F/6F/6.5F/7F</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3330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血栓抽吸导管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该产品由血栓抽吸导管，加硬导丝，带旋塞阀的延长管，70微米微孔滤网，Vaclok注射器，RXP冲洗注射器，废液收集盒组成。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4140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该产品由抽吸导管、延长导丝、延长管、抽吸用注射器及过滤筛组成。抽吸导管包括无侧孔和带侧孔两种类型，远端涂有亲水涂层。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2880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微导管主要由管身、保护套管和管座组成，表面涂覆亲水涂层，直径1.8F,长度135/150cm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微导管由管身、示标、座以及应变释放套管组成，带有支撑芯棒。导管远端表面带有PVP亲水涂层；应变释放套管为嵌段聚酰胺；座为聚碳酸酯材料；示标为铂铱合金，直径1.9F,长度135/150cm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2677.5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双腔微导管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该产品包含双腔微导管和冲洗针附件。双腔微导管主要由头端、管身、保护套管和管座组成，有整体交换腔（OTW腔）和快速交换腔（RX腔），末端有不透射线标记，表面涂有亲水性涂层，头端外径     1.5F，双腔段外径2.5F/ 3.3Fr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近端外径3.2F，可用长度 145cm，亲水涂层长度 38cm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穿通导管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穿通导管主要由管身、保护套管和管座组成，表面覆有亲水涂层，亲水性聚合物涂层长度：60cm，头端外径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0.42~0.87mm（锥形），推送段外径0.87mm（2.6Fr），近端外径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0.93mm（2.8Fr），长度135cm/150cm，柔软的锥形头端，钨合金编织内网，显影清晰，两粗八细不锈钢编织管身，近端螺旋护套。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主动脉内球囊反搏导管及附件</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分三个部分：导管托盘、穿刺托盘、带接头的连接管。导管托盘含组件：主动脉内球囊反搏导管，反搏泵连接管，注射器，带三通的延长管，延长管等。穿刺托盘含组件：带扩张器的鞘，带扩张器、侧臂的鞘，扩张器，穿刺针，导丝，手术刀。管身材料为聚酰亚胺。反搏导管含有水滑涂层；充气后球囊体积分30cc，40cc。</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8396.55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冠脉刻痕球囊扩张导管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该产品由球囊、球囊显影环、切割件、导管、导管座及亲水涂层组成，球囊直径2.0mm-4.0mm，长度10-15mm；标称压力10ATM，爆破压20ATM。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5508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切割球囊</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快速交换型球囊扩张导管，主要由球囊、外管、内管、管座、显影标记、尖端管、缓冲管等组成，涂有聚乙烯吡咯烷酮亲水涂层。球囊材料为嵌段聚醚酰胺弹性体，球囊上有3组或4组不锈钢刀片纵向安装在球囊上，外管、内管及管座材料为尼龙11、聚乙烯、不锈钢管和聚碳酸酯，显影标记材料为铂铱合金，直径2.0-4.0mm；长度5mm-15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6039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耐高压乳突球囊扩张导管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该产品为快速交换式球囊扩张导管。主要由球囊、轴管、Hypo管、座等部分组成，涂有“Hydrolubric TM"亲水性涂层。球囊表面有4排纵向排列的乳突；球囊直径2.5-4.0mm；长度8/12/16mm。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3473.1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临时起搏电极导管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该产品由电极、球囊、管身、应力释放管、连接手柄、电极尾线、接头针脚、鲁尔接头、注射器、针脚护套组成，管身直径5F，电极间距10mm，长度1100mm，充气后球囊直径9mm，头端分ST、MPA、MPB三种弯形。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球囊扩张支架系统</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一个由L605钴铬合金制成的球囊扩张支架系统，并配有一个冲洗工具。该球囊扩张支架系统预先安装在一个快速交换（RX）型支架输送系统的球囊上；位于球囊下面的两个不透射线标记，用于指示支架的位置并且可以在荧光透视下指示球囊的工作长度；近端体部标记，帮助定位输送导管相对于胆道/肾导引导管头端的位置；距离球囊中心大约30cm处的第三条标记，帮助定位导丝出口位置，并便于进行导管取出的交换；支架直径4-7mm；长度12/15/18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12366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CTO耐高压球囊扩张导管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直径1.5mm-3.0mm；长度15-20mm，带有亲水涂层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77" w:type="dxa"/>
            <w:gridSpan w:val="6"/>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说明：</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响应人</w:t>
            </w:r>
            <w:r>
              <w:rPr>
                <w:rFonts w:hint="eastAsia" w:ascii="宋体" w:hAnsi="宋体"/>
                <w:color w:val="auto"/>
                <w:szCs w:val="21"/>
                <w:highlight w:val="none"/>
              </w:rPr>
              <w:t>的</w:t>
            </w:r>
            <w:r>
              <w:rPr>
                <w:rFonts w:hint="eastAsia" w:ascii="宋体" w:hAnsi="宋体"/>
                <w:color w:val="auto"/>
                <w:szCs w:val="21"/>
                <w:highlight w:val="none"/>
                <w:lang w:val="en-US" w:eastAsia="zh-CN"/>
              </w:rPr>
              <w:t>响应</w:t>
            </w:r>
            <w:r>
              <w:rPr>
                <w:rFonts w:hint="eastAsia" w:ascii="宋体" w:hAnsi="宋体"/>
                <w:color w:val="auto"/>
                <w:szCs w:val="21"/>
                <w:highlight w:val="none"/>
              </w:rPr>
              <w:t>文件必须标明所投货物的品牌与参数，保证原厂正品供货。</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yellow"/>
                <w:lang w:val="en-US" w:eastAsia="zh-CN"/>
              </w:rPr>
            </w:pPr>
            <w:r>
              <w:rPr>
                <w:rFonts w:hint="eastAsia" w:ascii="宋体" w:hAnsi="宋体" w:eastAsia="宋体" w:cs="Times New Roman"/>
                <w:color w:val="auto"/>
                <w:kern w:val="2"/>
                <w:sz w:val="21"/>
                <w:szCs w:val="21"/>
                <w:highlight w:val="yellow"/>
                <w:lang w:val="en-US" w:eastAsia="zh-CN" w:bidi="ar-SA"/>
              </w:rPr>
              <w:t>2.</w:t>
            </w:r>
            <w:r>
              <w:rPr>
                <w:rFonts w:hint="eastAsia" w:ascii="宋体" w:hAnsi="宋体"/>
                <w:color w:val="auto"/>
                <w:szCs w:val="21"/>
                <w:highlight w:val="yellow"/>
                <w:lang w:val="en-US" w:eastAsia="zh-CN"/>
              </w:rPr>
              <w:t>本项目主要标的为表中序号为</w:t>
            </w:r>
            <w:r>
              <w:rPr>
                <w:rFonts w:hint="eastAsia" w:ascii="宋体" w:hAnsi="宋体" w:eastAsia="宋体" w:cs="宋体"/>
                <w:b/>
                <w:bCs/>
                <w:i w:val="0"/>
                <w:iCs w:val="0"/>
                <w:color w:val="000000"/>
                <w:kern w:val="0"/>
                <w:sz w:val="21"/>
                <w:szCs w:val="21"/>
                <w:u w:val="single"/>
                <w:lang w:val="en-US" w:eastAsia="zh-CN" w:bidi="ar"/>
              </w:rPr>
              <w:t>栓塞微粒球</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lang w:val="en-US" w:eastAsia="zh-CN"/>
              </w:rPr>
              <w:t>，主要标的名称、品牌、规格型号、费率、单价等信息将在成交结果公告中公示。</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3.所有技术参数及要求采购人验收时将逐条核对，如发现与实际情况不符、虚假响应等，采购人有权报监管部门并追究违约责任。</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4.响应人应按照磋商文件要求提供证明材料。若响应人提供了磋商文件未要求的证明材料，磋商小组将不予评审。</w:t>
            </w:r>
          </w:p>
          <w:p>
            <w:pPr>
              <w:keepNext w:val="0"/>
              <w:keepLines w:val="0"/>
              <w:pageBreakBefore w:val="0"/>
              <w:widowControl/>
              <w:suppressLineNumbers w:val="0"/>
              <w:tabs>
                <w:tab w:val="left" w:pos="2515"/>
              </w:tabs>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Times New Roman"/>
                <w:b w:val="0"/>
                <w:color w:val="auto"/>
                <w:kern w:val="2"/>
                <w:sz w:val="21"/>
                <w:szCs w:val="21"/>
                <w:highlight w:val="none"/>
                <w:shd w:val="clear"/>
                <w:lang w:val="en-US" w:eastAsia="zh-CN" w:bidi="ar-SA"/>
              </w:rPr>
              <w:t>5.</w:t>
            </w:r>
            <w:r>
              <w:rPr>
                <w:rFonts w:hint="eastAsia" w:ascii="宋体" w:hAnsi="宋体" w:eastAsia="宋体" w:cs="Times New Roman"/>
                <w:b w:val="0"/>
                <w:color w:val="auto"/>
                <w:kern w:val="2"/>
                <w:sz w:val="21"/>
                <w:szCs w:val="21"/>
                <w:highlight w:val="none"/>
                <w:shd w:val="clear"/>
                <w:lang w:val="en-US" w:eastAsia="zh-CN" w:bidi="ar-SA"/>
              </w:rPr>
              <w:t>响应人提供的证明材料须清晰的反映评审内容，如因材料模糊不清，导致磋商小组无法辨认的，磋商小组可以不予认可，一切后果由响应人自行承担。</w:t>
            </w:r>
          </w:p>
        </w:tc>
      </w:tr>
    </w:tbl>
    <w:p>
      <w:pPr>
        <w:pStyle w:val="8"/>
        <w:ind w:firstLine="413"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三、人员培训要求</w:t>
      </w:r>
    </w:p>
    <w:p>
      <w:pPr>
        <w:pageBreakBefore w:val="0"/>
        <w:widowControl/>
        <w:kinsoku/>
        <w:overflowPunct/>
        <w:topLinePunct w:val="0"/>
        <w:bidi w:val="0"/>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货物安装、调试、验收合格后，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人应对采购人的相关人员进行免费现场培训。培训内容包括基本操作、保养维修、常见故障及解决办法等。</w:t>
      </w:r>
    </w:p>
    <w:p>
      <w:pPr>
        <w:pStyle w:val="8"/>
        <w:pageBreakBefore w:val="0"/>
        <w:kinsoku/>
        <w:overflowPunct/>
        <w:topLinePunct w:val="0"/>
        <w:bidi w:val="0"/>
        <w:snapToGrid/>
        <w:spacing w:line="44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四、货物质量及售后服务要求</w:t>
      </w:r>
    </w:p>
    <w:p>
      <w:pPr>
        <w:pageBreakBefore w:val="0"/>
        <w:widowControl/>
        <w:kinsoku/>
        <w:overflowPunct/>
        <w:topLinePunct w:val="0"/>
        <w:bidi w:val="0"/>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1、货物质量：</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人提供的货物必须是全新、原装、合格正品，完全符合国家规定的质量标准和厂方的标准。货物完好，配件齐全。</w:t>
      </w:r>
    </w:p>
    <w:p>
      <w:pPr>
        <w:pageBreakBefore w:val="0"/>
        <w:widowControl/>
        <w:kinsoku/>
        <w:overflowPunct/>
        <w:topLinePunct w:val="0"/>
        <w:bidi w:val="0"/>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2、保修及售后服务：依据商品的保修条款及售后服务条款，提供原厂质保，质保期按照国家规定，且不低于所供品牌向用户承诺的质保期限，</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另有约定的从其约定。质保期从货物验收合格后算起。</w:t>
      </w:r>
    </w:p>
    <w:p>
      <w:pPr>
        <w:pStyle w:val="8"/>
        <w:pageBreakBefore w:val="0"/>
        <w:kinsoku/>
        <w:overflowPunct/>
        <w:topLinePunct w:val="0"/>
        <w:bidi w:val="0"/>
        <w:snapToGrid/>
        <w:spacing w:line="440" w:lineRule="exact"/>
        <w:ind w:firstLine="413"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五、报价要求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1.响应人结合其经济、技术实力自行确定报价。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.本次</w:t>
      </w:r>
      <w:r>
        <w:rPr>
          <w:rFonts w:hint="eastAsia" w:ascii="宋体" w:hAnsi="宋体" w:eastAsia="宋体" w:cs="宋体"/>
          <w:color w:val="000000"/>
          <w:kern w:val="0"/>
          <w:sz w:val="21"/>
          <w:szCs w:val="21"/>
          <w:lang w:eastAsia="zh-CN" w:bidi="ar"/>
        </w:rPr>
        <w:t>竞争性磋商</w:t>
      </w:r>
      <w:r>
        <w:rPr>
          <w:rFonts w:hint="eastAsia" w:ascii="宋体" w:hAnsi="宋体" w:eastAsia="宋体" w:cs="宋体"/>
          <w:color w:val="000000"/>
          <w:kern w:val="0"/>
          <w:sz w:val="21"/>
          <w:szCs w:val="21"/>
          <w:lang w:bidi="ar"/>
        </w:rPr>
        <w:t>报价以“扣率”计算最终报价，即投标人所报“扣率”乘以最高限价所得价格。本次</w:t>
      </w:r>
      <w:r>
        <w:rPr>
          <w:rFonts w:hint="eastAsia" w:ascii="宋体" w:hAnsi="宋体" w:eastAsia="宋体" w:cs="宋体"/>
          <w:color w:val="000000"/>
          <w:kern w:val="0"/>
          <w:sz w:val="21"/>
          <w:szCs w:val="21"/>
          <w:lang w:eastAsia="zh-CN" w:bidi="ar"/>
        </w:rPr>
        <w:t>竞争性磋商</w:t>
      </w:r>
      <w:r>
        <w:rPr>
          <w:rFonts w:hint="eastAsia" w:ascii="宋体" w:hAnsi="宋体" w:eastAsia="宋体" w:cs="宋体"/>
          <w:color w:val="000000"/>
          <w:kern w:val="0"/>
          <w:sz w:val="21"/>
          <w:szCs w:val="21"/>
          <w:lang w:bidi="ar"/>
        </w:rPr>
        <w:t>最高扣率为100%（超过最高扣率为无效报价，报价扣率保留百分比小数点后两位有效数字，例如：80.01%。成交价格：投标限价*报价扣率，保留小数点后两位有效数字）。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.超过最高扣率的报价为无效报价，将按废标处理。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每种耗材</w:t>
      </w:r>
      <w:r>
        <w:rPr>
          <w:rFonts w:hint="eastAsia" w:ascii="宋体" w:hAnsi="宋体" w:eastAsia="宋体" w:cs="宋体"/>
          <w:color w:val="000000"/>
          <w:kern w:val="0"/>
          <w:sz w:val="21"/>
          <w:szCs w:val="21"/>
          <w:lang w:bidi="ar"/>
        </w:rPr>
        <w:t>限投一个品牌产品，只能报价一次。多品牌、多报价按废标处理。</w:t>
      </w:r>
    </w:p>
    <w:p>
      <w:pPr>
        <w:pStyle w:val="8"/>
        <w:pageBreakBefore w:val="0"/>
        <w:kinsoku/>
        <w:overflowPunct/>
        <w:topLinePunct w:val="0"/>
        <w:bidi w:val="0"/>
        <w:snapToGrid/>
        <w:spacing w:line="440" w:lineRule="exact"/>
        <w:ind w:firstLine="413"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六、其他要求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为杜绝采购过程中一切不正当竞争行为，</w:t>
      </w:r>
      <w:r>
        <w:rPr>
          <w:rFonts w:hint="eastAsia" w:ascii="宋体" w:hAnsi="宋体" w:eastAsia="宋体" w:cs="宋体"/>
          <w:color w:val="000000"/>
          <w:kern w:val="0"/>
          <w:sz w:val="21"/>
          <w:szCs w:val="21"/>
          <w:lang w:val="en-US" w:eastAsia="zh-CN" w:bidi="ar"/>
        </w:rPr>
        <w:t>成交人</w:t>
      </w:r>
      <w:r>
        <w:rPr>
          <w:rFonts w:hint="eastAsia" w:ascii="宋体" w:hAnsi="宋体" w:eastAsia="宋体" w:cs="宋体"/>
          <w:color w:val="000000"/>
          <w:kern w:val="0"/>
          <w:sz w:val="21"/>
          <w:szCs w:val="21"/>
          <w:lang w:bidi="ar"/>
        </w:rPr>
        <w:t>必须保证正常供货，满足院方需求。如合同期内不能正常供货者，将列入不良记录名单，一年内将不得参与我院所有医用耗材的招标，并停止在我院在供货物</w:t>
      </w:r>
      <w:r>
        <w:rPr>
          <w:rFonts w:hint="eastAsia" w:ascii="宋体" w:hAnsi="宋体" w:eastAsia="宋体" w:cs="宋体"/>
          <w:color w:val="000000"/>
          <w:kern w:val="0"/>
          <w:sz w:val="21"/>
          <w:szCs w:val="21"/>
          <w:lang w:eastAsia="zh-CN" w:bidi="ar"/>
        </w:rPr>
        <w:t>。</w:t>
      </w:r>
    </w:p>
    <w:p>
      <w:pPr>
        <w:pStyle w:val="8"/>
        <w:pageBreakBefore w:val="0"/>
        <w:kinsoku/>
        <w:overflowPunct/>
        <w:topLinePunct w:val="0"/>
        <w:bidi w:val="0"/>
        <w:snapToGrid/>
        <w:spacing w:line="44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 xml:space="preserve">、验收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olor w:val="auto"/>
          <w:szCs w:val="21"/>
          <w:highlight w:val="none"/>
          <w:lang w:val="en-US" w:eastAsia="zh-CN"/>
        </w:rPr>
        <w:sectPr>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人和采购人双方共同实施验收工作，结果和验收报告经双方确认后生效</w:t>
      </w:r>
      <w:r>
        <w:rPr>
          <w:rFonts w:hint="eastAsia" w:ascii="宋体" w:hAnsi="宋体" w:eastAsia="宋体" w:cs="宋体"/>
          <w:color w:val="auto"/>
          <w:sz w:val="21"/>
          <w:szCs w:val="21"/>
          <w:highlight w:val="none"/>
          <w:lang w:eastAsia="zh-CN"/>
        </w:rPr>
        <w:t>。</w:t>
      </w:r>
    </w:p>
    <w:p>
      <w:pPr>
        <w:pStyle w:val="2"/>
        <w:numPr>
          <w:ilvl w:val="0"/>
          <w:numId w:val="0"/>
        </w:numPr>
        <w:tabs>
          <w:tab w:val="clear" w:pos="1440"/>
          <w:tab w:val="clear" w:pos="5670"/>
        </w:tabs>
        <w:spacing w:beforeLines="0" w:afterLines="0"/>
        <w:ind w:left="210" w:leftChars="0"/>
        <w:jc w:val="center"/>
        <w:rPr>
          <w:rFonts w:hint="eastAsia" w:ascii="Arial" w:hAnsi="Arial"/>
          <w:color w:val="auto"/>
          <w:kern w:val="2"/>
          <w:sz w:val="32"/>
          <w:szCs w:val="32"/>
          <w:highlight w:val="none"/>
          <w:lang w:val="en-US" w:eastAsia="zh-CN"/>
        </w:rPr>
      </w:pPr>
      <w:bookmarkStart w:id="82" w:name="_Toc16371"/>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w:t>
      </w:r>
      <w:r>
        <w:rPr>
          <w:rFonts w:hint="eastAsia" w:ascii="Arial" w:hAnsi="Arial"/>
          <w:color w:val="auto"/>
          <w:kern w:val="2"/>
          <w:sz w:val="32"/>
          <w:szCs w:val="32"/>
          <w:highlight w:val="none"/>
          <w:lang w:val="en-US" w:eastAsia="zh-CN"/>
        </w:rPr>
        <w:t>方法与标准</w:t>
      </w:r>
      <w:bookmarkEnd w:id="82"/>
    </w:p>
    <w:p>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本项目将按照磋商文件第二章 竞争性磋商须知的相关要求及本章的规定评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pPr>
        <w:numPr>
          <w:ilvl w:val="0"/>
          <w:numId w:val="0"/>
        </w:numPr>
        <w:spacing w:line="360" w:lineRule="auto"/>
        <w:ind w:left="420" w:leftChars="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二、评审方法：</w:t>
      </w:r>
    </w:p>
    <w:p>
      <w:pPr>
        <w:widowControl/>
        <w:numPr>
          <w:ilvl w:val="0"/>
          <w:numId w:val="0"/>
        </w:numPr>
        <w:spacing w:line="360" w:lineRule="auto"/>
        <w:ind w:firstLine="420" w:firstLineChars="200"/>
        <w:jc w:val="lef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2.1初审</w:t>
      </w:r>
    </w:p>
    <w:p>
      <w:pPr>
        <w:widowControl/>
        <w:numPr>
          <w:ilvl w:val="0"/>
          <w:numId w:val="0"/>
        </w:numPr>
        <w:spacing w:line="360" w:lineRule="auto"/>
        <w:ind w:firstLine="420" w:firstLineChars="200"/>
        <w:jc w:val="left"/>
        <w:rPr>
          <w:rFonts w:hint="default"/>
          <w:color w:val="auto"/>
          <w:highlight w:val="none"/>
          <w:lang w:val="en-US"/>
        </w:rPr>
      </w:pPr>
      <w:r>
        <w:rPr>
          <w:rFonts w:hint="default"/>
          <w:color w:val="auto"/>
          <w:highlight w:val="none"/>
          <w:lang w:val="en-US" w:eastAsia="zh-CN"/>
        </w:rPr>
        <w:t>磋商小组对供应商的响应文件进行初审，以确定其是否满足磋商文件的实质性要求。初审表如下</w:t>
      </w:r>
      <w:r>
        <w:rPr>
          <w:rFonts w:hint="eastAsia"/>
          <w:color w:val="auto"/>
          <w:highlight w:val="none"/>
          <w:lang w:val="en-US" w:eastAsia="zh-CN"/>
        </w:rPr>
        <w:t>：</w:t>
      </w:r>
    </w:p>
    <w:tbl>
      <w:tblPr>
        <w:tblStyle w:val="6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70"/>
        <w:gridCol w:w="2545"/>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6" w:type="dxa"/>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70" w:type="dxa"/>
            <w:tcBorders>
              <w:bottom w:val="single" w:color="auto" w:sz="4" w:space="0"/>
            </w:tcBorders>
            <w:vAlign w:val="center"/>
          </w:tcPr>
          <w:p>
            <w:pPr>
              <w:pStyle w:val="416"/>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545" w:type="dxa"/>
            <w:tcBorders>
              <w:bottom w:val="single" w:color="auto" w:sz="4" w:space="0"/>
            </w:tcBorders>
            <w:vAlign w:val="center"/>
          </w:tcPr>
          <w:p>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4478" w:type="dxa"/>
            <w:tcBorders>
              <w:bottom w:val="single" w:color="auto" w:sz="4" w:space="0"/>
            </w:tcBorders>
            <w:vAlign w:val="center"/>
          </w:tcPr>
          <w:p>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3"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545"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4478" w:type="dxa"/>
            <w:vMerge w:val="restart"/>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）和税务登记证的扫描件，应完整的体现出营业执照（或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）和税务登记证的全部内容。已办理“三证合一”登记的，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）扫描件即可。联合体</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税务登记证</w:t>
            </w:r>
          </w:p>
        </w:tc>
        <w:tc>
          <w:tcPr>
            <w:tcW w:w="2545"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4478" w:type="dxa"/>
            <w:vMerge w:val="continue"/>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70" w:type="dxa"/>
            <w:tcBorders>
              <w:bottom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2545" w:type="dxa"/>
            <w:tcBorders>
              <w:bottom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响应人不得存在竞争性磋商须知正文第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4478" w:type="dxa"/>
            <w:tcBorders>
              <w:bottom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详见竞争性磋商须知正文第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70" w:type="dxa"/>
            <w:tcBorders>
              <w:bottom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545" w:type="dxa"/>
            <w:tcBorders>
              <w:bottom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格式、填写要求符合磋商文件规定并加盖响应人公章</w:t>
            </w:r>
          </w:p>
        </w:tc>
        <w:tc>
          <w:tcPr>
            <w:tcW w:w="4478" w:type="dxa"/>
            <w:tcBorders>
              <w:bottom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7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r>
              <w:rPr>
                <w:rFonts w:hint="eastAsia" w:ascii="宋体" w:hAnsi="宋体" w:cs="宋体"/>
                <w:color w:val="auto"/>
                <w:szCs w:val="21"/>
                <w:highlight w:val="none"/>
              </w:rPr>
              <w:t>（专门面向中小企业采购项目适用）</w:t>
            </w:r>
          </w:p>
        </w:tc>
        <w:tc>
          <w:tcPr>
            <w:tcW w:w="2545" w:type="dxa"/>
            <w:tcBorders>
              <w:bottom w:val="single" w:color="auto" w:sz="4" w:space="0"/>
            </w:tcBorders>
            <w:vAlign w:val="center"/>
          </w:tcPr>
          <w:p>
            <w:pPr>
              <w:spacing w:after="50" w:line="360" w:lineRule="auto"/>
              <w:ind w:right="-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资格中落实政府采购政策需满足的资格要求</w:t>
            </w:r>
          </w:p>
        </w:tc>
        <w:tc>
          <w:tcPr>
            <w:tcW w:w="4478"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详见第六章响应文件格式。</w:t>
            </w:r>
          </w:p>
          <w:p>
            <w:pPr>
              <w:adjustRightInd w:val="0"/>
              <w:snapToGrid w:val="0"/>
              <w:spacing w:line="360" w:lineRule="auto"/>
              <w:ind w:right="-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残疾人福利性单位须提供残疾人福利性单位声明函，监狱企业须提供省级以上监狱管理局、戒毒管理局（含新疆生产建设兵团）出具的属</w:t>
            </w:r>
          </w:p>
          <w:p>
            <w:pPr>
              <w:adjustRightInd w:val="0"/>
              <w:snapToGrid w:val="0"/>
              <w:spacing w:line="360" w:lineRule="auto"/>
              <w:ind w:right="-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于监狱企业的证明文件扫描件。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70" w:type="dxa"/>
            <w:vAlign w:val="center"/>
          </w:tcPr>
          <w:p>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545" w:type="dxa"/>
            <w:vAlign w:val="center"/>
          </w:tcPr>
          <w:p>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4478"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3"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70" w:type="dxa"/>
            <w:vAlign w:val="center"/>
          </w:tcPr>
          <w:p>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磋商响应函</w:t>
            </w:r>
          </w:p>
        </w:tc>
        <w:tc>
          <w:tcPr>
            <w:tcW w:w="2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p>
        </w:tc>
        <w:tc>
          <w:tcPr>
            <w:tcW w:w="4478"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70" w:type="dxa"/>
            <w:vAlign w:val="center"/>
          </w:tcPr>
          <w:p>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545" w:type="dxa"/>
            <w:vAlign w:val="center"/>
          </w:tcPr>
          <w:p>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p>
        </w:tc>
        <w:tc>
          <w:tcPr>
            <w:tcW w:w="4478"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70" w:type="dxa"/>
            <w:vAlign w:val="center"/>
          </w:tcPr>
          <w:p>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2545" w:type="dxa"/>
            <w:vAlign w:val="center"/>
          </w:tcPr>
          <w:p>
            <w:pPr>
              <w:adjustRightInd w:val="0"/>
              <w:snapToGrid w:val="0"/>
              <w:spacing w:line="360" w:lineRule="auto"/>
              <w:ind w:right="-1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符合磋商文件供应</w:t>
            </w:r>
          </w:p>
          <w:p>
            <w:pPr>
              <w:adjustRightInd w:val="0"/>
              <w:snapToGrid w:val="0"/>
              <w:spacing w:line="360" w:lineRule="auto"/>
              <w:ind w:right="-1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商须知正文第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4478" w:type="dxa"/>
            <w:vAlign w:val="center"/>
          </w:tcPr>
          <w:p>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570" w:type="dxa"/>
            <w:vAlign w:val="center"/>
          </w:tcPr>
          <w:p>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商务响应情况</w:t>
            </w:r>
          </w:p>
        </w:tc>
        <w:tc>
          <w:tcPr>
            <w:tcW w:w="2545" w:type="dxa"/>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符合磋商文件采购需求中付款方式、供货及安装地点、供货及安装期限</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4478" w:type="dxa"/>
            <w:vAlign w:val="center"/>
          </w:tcPr>
          <w:p>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570" w:type="dxa"/>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545" w:type="dxa"/>
            <w:vAlign w:val="center"/>
          </w:tcPr>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符合磋商文件提供的响应文件格式及要求编写且加盖供应商公章。</w:t>
            </w:r>
          </w:p>
        </w:tc>
        <w:tc>
          <w:tcPr>
            <w:tcW w:w="4478" w:type="dxa"/>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3" w:type="dxa"/>
            <w:vAlign w:val="center"/>
          </w:tcPr>
          <w:p>
            <w:pPr>
              <w:adjustRightInd w:val="0"/>
              <w:snapToGrid w:val="0"/>
              <w:spacing w:line="360" w:lineRule="auto"/>
              <w:ind w:right="-1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570" w:type="dxa"/>
            <w:vAlign w:val="center"/>
          </w:tcPr>
          <w:p>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545" w:type="dxa"/>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4478" w:type="dxa"/>
            <w:vAlign w:val="center"/>
          </w:tcPr>
          <w:p>
            <w:pPr>
              <w:spacing w:after="50" w:line="360" w:lineRule="auto"/>
              <w:ind w:right="-10" w:righ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Borders>
              <w:bottom w:val="single" w:color="auto" w:sz="4" w:space="0"/>
            </w:tcBorders>
            <w:vAlign w:val="center"/>
          </w:tcPr>
          <w:p>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pPr>
              <w:widowControl/>
              <w:spacing w:line="500" w:lineRule="exact"/>
              <w:jc w:val="left"/>
              <w:rPr>
                <w:rFonts w:hint="eastAsia"/>
                <w:color w:val="auto"/>
                <w:highlight w:val="none"/>
              </w:rPr>
            </w:pPr>
            <w:r>
              <w:rPr>
                <w:rFonts w:hint="eastAsia"/>
                <w:color w:val="auto"/>
                <w:highlight w:val="none"/>
              </w:rPr>
              <w:t xml:space="preserve">注： </w:t>
            </w:r>
            <w:r>
              <w:rPr>
                <w:rFonts w:hint="eastAsia"/>
                <w:color w:val="auto"/>
                <w:highlight w:val="none"/>
                <w:lang w:val="en-US" w:eastAsia="zh-CN"/>
              </w:rPr>
              <w:t>1、</w:t>
            </w:r>
            <w:r>
              <w:rPr>
                <w:rFonts w:hint="eastAsia"/>
                <w:color w:val="auto"/>
                <w:highlight w:val="none"/>
                <w:lang w:eastAsia="zh-CN"/>
              </w:rPr>
              <w:t>磋商文件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pPr>
              <w:pageBreakBefore w:val="0"/>
              <w:widowControl/>
              <w:kinsoku/>
              <w:overflowPunct/>
              <w:topLinePunct w:val="0"/>
              <w:bidi w:val="0"/>
              <w:snapToGrid/>
              <w:spacing w:line="440" w:lineRule="exact"/>
              <w:jc w:val="left"/>
              <w:textAlignment w:val="auto"/>
              <w:rPr>
                <w:rFonts w:hint="eastAsia" w:eastAsia="宋体"/>
                <w:color w:val="auto"/>
                <w:highlight w:val="none"/>
                <w:lang w:val="en-US" w:eastAsia="zh-CN"/>
              </w:rPr>
            </w:pPr>
            <w:r>
              <w:rPr>
                <w:rFonts w:hint="eastAsia" w:ascii="宋体" w:hAnsi="宋体"/>
                <w:color w:val="auto"/>
                <w:szCs w:val="21"/>
                <w:highlight w:val="none"/>
                <w:lang w:val="en-US" w:eastAsia="zh-CN"/>
              </w:rPr>
              <w:t>2、响应人应按照磋商文件要求提供证明材料。若响应人提供了磋商文件未要求的证明材料，磋商小组将不予评审。</w:t>
            </w:r>
          </w:p>
        </w:tc>
      </w:tr>
    </w:tbl>
    <w:p>
      <w:pPr>
        <w:spacing w:line="360" w:lineRule="auto"/>
        <w:ind w:firstLine="420" w:firstLineChars="2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2.2</w:t>
      </w:r>
      <w:r>
        <w:rPr>
          <w:rFonts w:hint="default" w:ascii="宋体" w:hAnsi="宋体" w:cs="宋体"/>
          <w:b w:val="0"/>
          <w:bCs/>
          <w:color w:val="auto"/>
          <w:szCs w:val="21"/>
          <w:highlight w:val="none"/>
          <w:lang w:val="en-US" w:eastAsia="zh-CN"/>
        </w:rPr>
        <w:t xml:space="preserve"> 磋商。初审合格后</w:t>
      </w:r>
      <w:r>
        <w:rPr>
          <w:rFonts w:hint="eastAsia" w:ascii="宋体" w:hAnsi="宋体" w:cs="宋体"/>
          <w:b w:val="0"/>
          <w:bCs/>
          <w:color w:val="auto"/>
          <w:szCs w:val="21"/>
          <w:highlight w:val="none"/>
          <w:lang w:val="en-US" w:eastAsia="zh-CN"/>
        </w:rPr>
        <w:t>，</w:t>
      </w:r>
      <w:r>
        <w:rPr>
          <w:rFonts w:hint="default" w:ascii="宋体" w:hAnsi="宋体" w:cs="宋体"/>
          <w:b w:val="0"/>
          <w:bCs/>
          <w:color w:val="auto"/>
          <w:szCs w:val="21"/>
          <w:highlight w:val="none"/>
          <w:lang w:val="en-US" w:eastAsia="zh-CN"/>
        </w:rPr>
        <w:t>磋商小组将按</w:t>
      </w:r>
      <w:r>
        <w:rPr>
          <w:rFonts w:hint="eastAsia" w:ascii="宋体" w:hAnsi="宋体" w:cs="宋体"/>
          <w:b w:val="0"/>
          <w:bCs/>
          <w:color w:val="auto"/>
          <w:szCs w:val="21"/>
          <w:highlight w:val="none"/>
          <w:lang w:val="en-US" w:eastAsia="zh-CN"/>
        </w:rPr>
        <w:t>密封完好的</w:t>
      </w:r>
      <w:r>
        <w:rPr>
          <w:rFonts w:hint="default" w:ascii="宋体" w:hAnsi="宋体" w:cs="宋体"/>
          <w:b w:val="0"/>
          <w:bCs/>
          <w:color w:val="auto"/>
          <w:szCs w:val="21"/>
          <w:highlight w:val="none"/>
          <w:lang w:val="en-US" w:eastAsia="zh-CN"/>
        </w:rPr>
        <w:t>响应文件提交顺序集中与单一供应商分别进行磋商。</w:t>
      </w:r>
    </w:p>
    <w:p>
      <w:pPr>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cs="宋体"/>
          <w:b w:val="0"/>
          <w:bCs/>
          <w:color w:val="auto"/>
          <w:szCs w:val="21"/>
          <w:highlight w:val="none"/>
          <w:lang w:val="en-US" w:eastAsia="zh-CN"/>
        </w:rPr>
        <w:t>2.3</w:t>
      </w:r>
      <w:r>
        <w:rPr>
          <w:rFonts w:hint="default" w:ascii="宋体" w:hAnsi="宋体" w:cs="宋体"/>
          <w:b w:val="0"/>
          <w:bCs/>
          <w:color w:val="auto"/>
          <w:szCs w:val="21"/>
          <w:highlight w:val="none"/>
          <w:lang w:val="en-US" w:eastAsia="zh-CN"/>
        </w:rPr>
        <w:t xml:space="preserve"> </w:t>
      </w:r>
      <w:r>
        <w:rPr>
          <w:rFonts w:hint="eastAsia"/>
          <w:color w:val="auto"/>
          <w:highlight w:val="none"/>
          <w:lang w:val="en-US" w:eastAsia="zh-CN"/>
        </w:rPr>
        <w:t>最后报价评审，</w:t>
      </w:r>
      <w:r>
        <w:rPr>
          <w:rFonts w:hint="eastAsia" w:ascii="宋体" w:hAnsi="宋体" w:cs="宋体"/>
          <w:b w:val="0"/>
          <w:bCs/>
          <w:color w:val="auto"/>
          <w:szCs w:val="21"/>
          <w:highlight w:val="none"/>
          <w:lang w:val="en-US" w:eastAsia="zh-CN"/>
        </w:rPr>
        <w:t>符合磋商文件供应商须知正文第 24 条要求。</w:t>
      </w:r>
    </w:p>
    <w:p>
      <w:pPr>
        <w:widowControl/>
        <w:numPr>
          <w:ilvl w:val="0"/>
          <w:numId w:val="0"/>
        </w:numPr>
        <w:spacing w:line="360" w:lineRule="auto"/>
        <w:ind w:firstLine="420" w:firstLineChars="200"/>
        <w:jc w:val="lef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 xml:space="preserve">2.4 综合评分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.1 磋商小组按照下表对进入综合评分的所有供应商的响应文件进行综合评分。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.2 本项目每包综合评分满分均为</w:t>
      </w:r>
      <w:r>
        <w:rPr>
          <w:rFonts w:hint="eastAsia" w:ascii="宋体" w:hAnsi="宋体" w:eastAsia="宋体" w:cs="宋体"/>
          <w:b/>
          <w:bCs/>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val="en-US" w:eastAsia="zh-CN" w:bidi="ar"/>
        </w:rPr>
        <w:t>分，其中：技术资信分值占总分值的权重为70 %，价格分值占总分值的权重为30%。具体评分细则如下：</w:t>
      </w:r>
    </w:p>
    <w:tbl>
      <w:tblPr>
        <w:tblStyle w:val="420"/>
        <w:tblW w:w="89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
        <w:gridCol w:w="555"/>
        <w:gridCol w:w="7"/>
        <w:gridCol w:w="1327"/>
        <w:gridCol w:w="7"/>
        <w:gridCol w:w="638"/>
        <w:gridCol w:w="7"/>
        <w:gridCol w:w="5570"/>
        <w:gridCol w:w="7"/>
        <w:gridCol w:w="840"/>
        <w:gridCol w:w="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3" w:hRule="atLeast"/>
          <w:jc w:val="center"/>
        </w:trPr>
        <w:tc>
          <w:tcPr>
            <w:tcW w:w="562" w:type="dxa"/>
            <w:gridSpan w:val="2"/>
            <w:textDirection w:val="tbRlV"/>
            <w:vAlign w:val="center"/>
          </w:tcPr>
          <w:p>
            <w:pPr>
              <w:pStyle w:val="419"/>
              <w:spacing w:before="171" w:line="210" w:lineRule="auto"/>
              <w:ind w:left="45"/>
              <w:jc w:val="center"/>
            </w:pPr>
            <w:r>
              <w:t>序号</w:t>
            </w:r>
          </w:p>
        </w:tc>
        <w:tc>
          <w:tcPr>
            <w:tcW w:w="1334" w:type="dxa"/>
            <w:gridSpan w:val="2"/>
            <w:vAlign w:val="center"/>
          </w:tcPr>
          <w:p>
            <w:pPr>
              <w:pStyle w:val="419"/>
              <w:spacing w:before="195" w:line="220" w:lineRule="auto"/>
              <w:jc w:val="center"/>
            </w:pPr>
            <w:r>
              <w:rPr>
                <w:spacing w:val="-2"/>
              </w:rPr>
              <w:t>评分项目</w:t>
            </w:r>
          </w:p>
        </w:tc>
        <w:tc>
          <w:tcPr>
            <w:tcW w:w="645" w:type="dxa"/>
            <w:gridSpan w:val="2"/>
            <w:textDirection w:val="tbRlV"/>
            <w:vAlign w:val="center"/>
          </w:tcPr>
          <w:p>
            <w:pPr>
              <w:pStyle w:val="419"/>
              <w:spacing w:before="213" w:line="208" w:lineRule="auto"/>
              <w:ind w:left="45"/>
              <w:jc w:val="center"/>
            </w:pPr>
            <w:r>
              <w:t>分值</w:t>
            </w:r>
          </w:p>
        </w:tc>
        <w:tc>
          <w:tcPr>
            <w:tcW w:w="5577" w:type="dxa"/>
            <w:gridSpan w:val="2"/>
            <w:vAlign w:val="center"/>
          </w:tcPr>
          <w:p>
            <w:pPr>
              <w:pStyle w:val="419"/>
              <w:spacing w:before="195" w:line="220" w:lineRule="auto"/>
              <w:jc w:val="center"/>
            </w:pPr>
            <w:r>
              <w:rPr>
                <w:spacing w:val="-2"/>
              </w:rPr>
              <w:t>评分准则</w:t>
            </w:r>
          </w:p>
        </w:tc>
        <w:tc>
          <w:tcPr>
            <w:tcW w:w="847" w:type="dxa"/>
            <w:gridSpan w:val="2"/>
            <w:vAlign w:val="center"/>
          </w:tcPr>
          <w:p>
            <w:pPr>
              <w:pStyle w:val="419"/>
              <w:spacing w:before="194" w:line="220" w:lineRule="auto"/>
              <w:jc w:val="center"/>
            </w:pPr>
            <w:r>
              <w:rPr>
                <w:spacing w:val="-3"/>
              </w:rPr>
              <w:t>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3" w:hRule="atLeast"/>
          <w:jc w:val="center"/>
        </w:trPr>
        <w:tc>
          <w:tcPr>
            <w:tcW w:w="562" w:type="dxa"/>
            <w:gridSpan w:val="2"/>
            <w:vAlign w:val="center"/>
          </w:tcPr>
          <w:p>
            <w:pPr>
              <w:spacing w:before="61" w:line="18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334" w:type="dxa"/>
            <w:gridSpan w:val="2"/>
            <w:vAlign w:val="center"/>
          </w:tcPr>
          <w:p>
            <w:pPr>
              <w:pStyle w:val="419"/>
              <w:spacing w:before="69" w:line="220" w:lineRule="auto"/>
              <w:jc w:val="center"/>
            </w:pPr>
            <w:r>
              <w:rPr>
                <w:spacing w:val="-2"/>
              </w:rPr>
              <w:t>业绩</w:t>
            </w:r>
          </w:p>
        </w:tc>
        <w:tc>
          <w:tcPr>
            <w:tcW w:w="645" w:type="dxa"/>
            <w:gridSpan w:val="2"/>
            <w:vAlign w:val="center"/>
          </w:tcPr>
          <w:p>
            <w:pPr>
              <w:pStyle w:val="419"/>
              <w:spacing w:before="69" w:line="181" w:lineRule="auto"/>
              <w:jc w:val="center"/>
              <w:rPr>
                <w:rFonts w:hint="default" w:eastAsia="宋体"/>
                <w:lang w:val="en-US" w:eastAsia="zh-CN"/>
              </w:rPr>
            </w:pPr>
            <w:r>
              <w:rPr>
                <w:rFonts w:hint="eastAsia"/>
                <w:lang w:val="en-US" w:eastAsia="zh-CN"/>
              </w:rPr>
              <w:t>10</w:t>
            </w:r>
          </w:p>
        </w:tc>
        <w:tc>
          <w:tcPr>
            <w:tcW w:w="5577" w:type="dxa"/>
            <w:gridSpan w:val="2"/>
            <w:vAlign w:val="center"/>
          </w:tcPr>
          <w:p>
            <w:pPr>
              <w:pStyle w:val="419"/>
              <w:keepNext w:val="0"/>
              <w:keepLines w:val="0"/>
              <w:pageBreakBefore w:val="0"/>
              <w:widowControl w:val="0"/>
              <w:kinsoku/>
              <w:wordWrap/>
              <w:overflowPunct/>
              <w:topLinePunct w:val="0"/>
              <w:autoSpaceDE/>
              <w:autoSpaceDN/>
              <w:bidi w:val="0"/>
              <w:adjustRightInd/>
              <w:snapToGrid/>
              <w:spacing w:line="440" w:lineRule="exact"/>
              <w:ind w:left="110" w:right="83" w:firstLine="404" w:firstLineChars="200"/>
              <w:textAlignment w:val="auto"/>
            </w:pPr>
            <w:r>
              <w:rPr>
                <w:spacing w:val="-4"/>
              </w:rPr>
              <w:t>投标人自</w:t>
            </w:r>
            <w:r>
              <w:rPr>
                <w:spacing w:val="-41"/>
              </w:rPr>
              <w:t xml:space="preserve"> </w:t>
            </w:r>
            <w:r>
              <w:rPr>
                <w:rFonts w:ascii="Times New Roman" w:hAnsi="Times New Roman" w:eastAsia="Times New Roman" w:cs="Times New Roman"/>
                <w:spacing w:val="-4"/>
              </w:rPr>
              <w:t>202</w:t>
            </w:r>
            <w:r>
              <w:rPr>
                <w:rFonts w:hint="eastAsia" w:ascii="Times New Roman" w:hAnsi="Times New Roman" w:cs="Times New Roman"/>
                <w:spacing w:val="-4"/>
                <w:lang w:val="en-US" w:eastAsia="zh-CN"/>
              </w:rPr>
              <w:t>1</w:t>
            </w:r>
            <w:r>
              <w:rPr>
                <w:rFonts w:ascii="Times New Roman" w:hAnsi="Times New Roman" w:eastAsia="Times New Roman" w:cs="Times New Roman"/>
                <w:spacing w:val="17"/>
                <w:w w:val="101"/>
              </w:rPr>
              <w:t xml:space="preserve"> </w:t>
            </w:r>
            <w:r>
              <w:rPr>
                <w:spacing w:val="-4"/>
              </w:rPr>
              <w:t>年</w:t>
            </w:r>
            <w:r>
              <w:rPr>
                <w:spacing w:val="-57"/>
              </w:rPr>
              <w:t xml:space="preserve"> </w:t>
            </w:r>
            <w:r>
              <w:rPr>
                <w:rFonts w:hint="eastAsia" w:ascii="Times New Roman" w:hAnsi="Times New Roman" w:cs="Times New Roman"/>
                <w:spacing w:val="-4"/>
                <w:lang w:val="en-US" w:eastAsia="zh-CN"/>
              </w:rPr>
              <w:t>1</w:t>
            </w:r>
            <w:r>
              <w:rPr>
                <w:spacing w:val="-4"/>
              </w:rPr>
              <w:t>月</w:t>
            </w:r>
            <w:r>
              <w:rPr>
                <w:spacing w:val="-20"/>
              </w:rPr>
              <w:t xml:space="preserve"> </w:t>
            </w:r>
            <w:r>
              <w:rPr>
                <w:rFonts w:ascii="Times New Roman" w:hAnsi="Times New Roman" w:eastAsia="Times New Roman" w:cs="Times New Roman"/>
                <w:spacing w:val="-4"/>
              </w:rPr>
              <w:t xml:space="preserve">1  </w:t>
            </w:r>
            <w:r>
              <w:rPr>
                <w:spacing w:val="-4"/>
              </w:rPr>
              <w:t>日</w:t>
            </w:r>
            <w:r>
              <w:rPr>
                <w:rFonts w:hint="eastAsia"/>
                <w:spacing w:val="-4"/>
                <w:lang w:val="en-US" w:eastAsia="zh-CN"/>
              </w:rPr>
              <w:t>至今</w:t>
            </w:r>
            <w:r>
              <w:rPr>
                <w:spacing w:val="-4"/>
              </w:rPr>
              <w:t>（以安徽省医药集</w:t>
            </w:r>
            <w:r>
              <w:rPr>
                <w:spacing w:val="-5"/>
              </w:rPr>
              <w:t>中采购平台点</w:t>
            </w:r>
            <w:r>
              <w:t xml:space="preserve"> </w:t>
            </w:r>
            <w:r>
              <w:rPr>
                <w:spacing w:val="-2"/>
              </w:rPr>
              <w:t>配送时间为准）至今具有向</w:t>
            </w:r>
            <w:r>
              <w:rPr>
                <w:rFonts w:hint="eastAsia"/>
                <w:spacing w:val="-2"/>
                <w:lang w:val="en-US" w:eastAsia="zh-CN"/>
              </w:rPr>
              <w:t>安徽省内三甲</w:t>
            </w:r>
            <w:r>
              <w:rPr>
                <w:spacing w:val="-2"/>
              </w:rPr>
              <w:t>医院配送医用耗材</w:t>
            </w:r>
            <w:r>
              <w:rPr>
                <w:rFonts w:ascii="Times New Roman" w:hAnsi="Times New Roman" w:eastAsia="Times New Roman" w:cs="Times New Roman"/>
                <w:spacing w:val="-2"/>
              </w:rPr>
              <w:t>(</w:t>
            </w:r>
            <w:r>
              <w:rPr>
                <w:spacing w:val="-2"/>
              </w:rPr>
              <w:t>含本次采购</w:t>
            </w:r>
            <w:r>
              <w:rPr>
                <w:spacing w:val="-1"/>
              </w:rPr>
              <w:t>的</w:t>
            </w:r>
            <w:r>
              <w:rPr>
                <w:rFonts w:hint="eastAsia"/>
                <w:b/>
                <w:bCs/>
                <w:spacing w:val="-1"/>
                <w:lang w:val="en-US" w:eastAsia="zh-CN"/>
              </w:rPr>
              <w:t>膝下药物涂层球囊扩张导管或血栓抽吸导管</w:t>
            </w:r>
            <w:r>
              <w:rPr>
                <w:rFonts w:ascii="Times New Roman" w:hAnsi="Times New Roman" w:eastAsia="Times New Roman" w:cs="Times New Roman"/>
                <w:spacing w:val="-1"/>
              </w:rPr>
              <w:t>)</w:t>
            </w:r>
            <w:r>
              <w:rPr>
                <w:spacing w:val="-1"/>
              </w:rPr>
              <w:t>的业绩，投标人每提供一份业绩的，得</w:t>
            </w:r>
            <w:r>
              <w:rPr>
                <w:spacing w:val="-16"/>
              </w:rPr>
              <w:t xml:space="preserve"> </w:t>
            </w:r>
            <w:r>
              <w:rPr>
                <w:rFonts w:hint="eastAsia" w:ascii="Times New Roman" w:hAnsi="Times New Roman" w:cs="Times New Roman"/>
                <w:spacing w:val="-1"/>
                <w:lang w:val="en-US" w:eastAsia="zh-CN"/>
              </w:rPr>
              <w:t>5</w:t>
            </w:r>
            <w:r>
              <w:rPr>
                <w:spacing w:val="-1"/>
              </w:rPr>
              <w:t>分，</w:t>
            </w:r>
            <w:r>
              <w:rPr>
                <w:spacing w:val="-9"/>
              </w:rPr>
              <w:t>最高</w:t>
            </w:r>
            <w:r>
              <w:rPr>
                <w:spacing w:val="-32"/>
              </w:rPr>
              <w:t xml:space="preserve"> </w:t>
            </w:r>
            <w:r>
              <w:rPr>
                <w:rFonts w:hint="eastAsia" w:ascii="Times New Roman" w:hAnsi="Times New Roman" w:cs="Times New Roman"/>
                <w:spacing w:val="-9"/>
                <w:lang w:val="en-US" w:eastAsia="zh-CN"/>
              </w:rPr>
              <w:t>10</w:t>
            </w:r>
            <w:r>
              <w:rPr>
                <w:spacing w:val="-9"/>
              </w:rPr>
              <w:t>分。</w:t>
            </w:r>
          </w:p>
          <w:p>
            <w:pPr>
              <w:pStyle w:val="419"/>
              <w:keepNext w:val="0"/>
              <w:keepLines w:val="0"/>
              <w:pageBreakBefore w:val="0"/>
              <w:widowControl w:val="0"/>
              <w:kinsoku/>
              <w:wordWrap/>
              <w:overflowPunct/>
              <w:topLinePunct w:val="0"/>
              <w:autoSpaceDE/>
              <w:autoSpaceDN/>
              <w:bidi w:val="0"/>
              <w:adjustRightInd/>
              <w:snapToGrid/>
              <w:spacing w:line="440" w:lineRule="exact"/>
              <w:ind w:left="112" w:right="78" w:firstLine="424" w:firstLineChars="200"/>
              <w:textAlignment w:val="auto"/>
            </w:pPr>
            <w:r>
              <w:rPr>
                <w:spacing w:val="1"/>
              </w:rPr>
              <w:t>注</w:t>
            </w:r>
            <w:r>
              <w:rPr>
                <w:spacing w:val="-12"/>
              </w:rPr>
              <w:t>：（</w:t>
            </w:r>
            <w:r>
              <w:rPr>
                <w:rFonts w:ascii="Times New Roman" w:hAnsi="Times New Roman" w:eastAsia="Times New Roman" w:cs="Times New Roman"/>
                <w:spacing w:val="1"/>
              </w:rPr>
              <w:t>1</w:t>
            </w:r>
            <w:r>
              <w:rPr>
                <w:spacing w:val="1"/>
              </w:rPr>
              <w:t xml:space="preserve">）投标人提供安徽省医药集中采购平台数据截图作 </w:t>
            </w:r>
            <w:r>
              <w:rPr>
                <w:spacing w:val="-9"/>
              </w:rPr>
              <w:t>为业绩证明材料，截图中须含有配送医院、配送时间、配送</w:t>
            </w:r>
            <w:r>
              <w:rPr>
                <w:spacing w:val="-2"/>
              </w:rPr>
              <w:t>产品，显示不全、不清楚的不得分。</w:t>
            </w:r>
          </w:p>
          <w:p>
            <w:pPr>
              <w:pStyle w:val="419"/>
              <w:keepNext w:val="0"/>
              <w:keepLines w:val="0"/>
              <w:pageBreakBefore w:val="0"/>
              <w:widowControl w:val="0"/>
              <w:kinsoku/>
              <w:wordWrap/>
              <w:overflowPunct/>
              <w:topLinePunct w:val="0"/>
              <w:autoSpaceDE/>
              <w:autoSpaceDN/>
              <w:bidi w:val="0"/>
              <w:adjustRightInd/>
              <w:snapToGrid/>
              <w:spacing w:line="440" w:lineRule="exact"/>
              <w:ind w:left="115" w:firstLine="420" w:firstLineChars="200"/>
              <w:textAlignment w:val="auto"/>
            </w:pPr>
            <w:r>
              <w:rPr>
                <w:spacing w:val="0"/>
                <w:position w:val="0"/>
                <w:sz w:val="21"/>
              </w:rPr>
              <w:t>（</w:t>
            </w:r>
            <w:r>
              <w:rPr>
                <w:rFonts w:ascii="Times New Roman" w:hAnsi="Times New Roman" w:eastAsia="Times New Roman" w:cs="Times New Roman"/>
                <w:spacing w:val="0"/>
                <w:position w:val="0"/>
                <w:sz w:val="21"/>
              </w:rPr>
              <w:t>2</w:t>
            </w:r>
            <w:r>
              <w:rPr>
                <w:spacing w:val="0"/>
                <w:position w:val="0"/>
                <w:sz w:val="21"/>
              </w:rPr>
              <w:t>）投标人须承诺业绩证明中产品与本次所投此产品品牌一致。未提供承诺的，此项不得分。</w:t>
            </w:r>
          </w:p>
          <w:p>
            <w:pPr>
              <w:pStyle w:val="419"/>
              <w:keepNext w:val="0"/>
              <w:keepLines w:val="0"/>
              <w:pageBreakBefore w:val="0"/>
              <w:widowControl w:val="0"/>
              <w:kinsoku/>
              <w:wordWrap/>
              <w:overflowPunct/>
              <w:topLinePunct w:val="0"/>
              <w:autoSpaceDE/>
              <w:autoSpaceDN/>
              <w:bidi w:val="0"/>
              <w:adjustRightInd/>
              <w:snapToGrid/>
              <w:spacing w:line="440" w:lineRule="exact"/>
              <w:ind w:left="115" w:firstLine="408" w:firstLineChars="200"/>
              <w:textAlignment w:val="auto"/>
            </w:pPr>
            <w:r>
              <w:rPr>
                <w:spacing w:val="-3"/>
              </w:rPr>
              <w:t>（</w:t>
            </w:r>
            <w:r>
              <w:rPr>
                <w:rFonts w:ascii="Times New Roman" w:hAnsi="Times New Roman" w:eastAsia="Times New Roman" w:cs="Times New Roman"/>
                <w:spacing w:val="-3"/>
              </w:rPr>
              <w:t>3</w:t>
            </w:r>
            <w:r>
              <w:rPr>
                <w:spacing w:val="-3"/>
              </w:rPr>
              <w:t>）同一家医院业绩不重复计分。</w:t>
            </w:r>
          </w:p>
        </w:tc>
        <w:tc>
          <w:tcPr>
            <w:tcW w:w="847" w:type="dxa"/>
            <w:gridSpan w:val="2"/>
            <w:vAlign w:val="center"/>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3" w:hRule="atLeast"/>
          <w:jc w:val="center"/>
        </w:trPr>
        <w:tc>
          <w:tcPr>
            <w:tcW w:w="562" w:type="dxa"/>
            <w:gridSpan w:val="2"/>
            <w:vAlign w:val="center"/>
          </w:tcPr>
          <w:p>
            <w:pPr>
              <w:spacing w:before="60" w:line="18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334" w:type="dxa"/>
            <w:gridSpan w:val="2"/>
            <w:vAlign w:val="center"/>
          </w:tcPr>
          <w:p>
            <w:pPr>
              <w:pStyle w:val="419"/>
              <w:spacing w:before="68" w:line="220" w:lineRule="auto"/>
              <w:jc w:val="center"/>
              <w:rPr>
                <w:rFonts w:hint="eastAsia" w:eastAsia="宋体"/>
                <w:lang w:eastAsia="zh-CN"/>
              </w:rPr>
            </w:pPr>
            <w:r>
              <w:rPr>
                <w:rFonts w:hint="eastAsia"/>
                <w:spacing w:val="-2"/>
                <w:lang w:val="en-US" w:eastAsia="zh-CN"/>
              </w:rPr>
              <w:t>公司实力</w:t>
            </w:r>
          </w:p>
        </w:tc>
        <w:tc>
          <w:tcPr>
            <w:tcW w:w="645" w:type="dxa"/>
            <w:gridSpan w:val="2"/>
            <w:vAlign w:val="center"/>
          </w:tcPr>
          <w:p>
            <w:pPr>
              <w:spacing w:before="60"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7"/>
                <w:sz w:val="21"/>
                <w:szCs w:val="21"/>
                <w:lang w:val="en-US" w:eastAsia="zh-CN"/>
              </w:rPr>
              <w:t>15</w:t>
            </w:r>
          </w:p>
        </w:tc>
        <w:tc>
          <w:tcPr>
            <w:tcW w:w="5577" w:type="dxa"/>
            <w:gridSpan w:val="2"/>
            <w:vAlign w:val="center"/>
          </w:tcPr>
          <w:p>
            <w:pPr>
              <w:pStyle w:val="419"/>
              <w:keepNext w:val="0"/>
              <w:keepLines w:val="0"/>
              <w:pageBreakBefore w:val="0"/>
              <w:widowControl w:val="0"/>
              <w:kinsoku/>
              <w:wordWrap/>
              <w:overflowPunct/>
              <w:topLinePunct w:val="0"/>
              <w:autoSpaceDE/>
              <w:autoSpaceDN/>
              <w:bidi w:val="0"/>
              <w:adjustRightInd/>
              <w:snapToGrid/>
              <w:spacing w:line="440" w:lineRule="exact"/>
              <w:ind w:left="110" w:firstLine="388" w:firstLineChars="200"/>
              <w:jc w:val="left"/>
              <w:textAlignment w:val="auto"/>
              <w:rPr>
                <w:rFonts w:hint="default" w:eastAsia="宋体"/>
                <w:lang w:val="en-US" w:eastAsia="zh-CN"/>
              </w:rPr>
            </w:pPr>
            <w:r>
              <w:rPr>
                <w:rFonts w:hint="eastAsia"/>
                <w:spacing w:val="-8"/>
                <w:lang w:val="en-US" w:eastAsia="zh-CN"/>
              </w:rPr>
              <w:t>自2021年起，</w:t>
            </w:r>
            <w:r>
              <w:rPr>
                <w:spacing w:val="-8"/>
              </w:rPr>
              <w:t>具有</w:t>
            </w:r>
            <w:r>
              <w:rPr>
                <w:rFonts w:hint="eastAsia"/>
                <w:spacing w:val="-8"/>
                <w:lang w:val="en-US" w:eastAsia="zh-CN"/>
              </w:rPr>
              <w:t>向安徽省内三甲医院配送高值耗材的项目经验，以投标人与医院签订的合同为准，每提供一份省属三甲医院合同得3分，市级三甲医院得1分，最高15分。</w:t>
            </w:r>
          </w:p>
        </w:tc>
        <w:tc>
          <w:tcPr>
            <w:tcW w:w="847" w:type="dxa"/>
            <w:gridSpan w:val="2"/>
            <w:vAlign w:val="center"/>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3" w:hRule="atLeast"/>
          <w:jc w:val="center"/>
        </w:trPr>
        <w:tc>
          <w:tcPr>
            <w:tcW w:w="562" w:type="dxa"/>
            <w:gridSpan w:val="2"/>
            <w:vAlign w:val="center"/>
          </w:tcPr>
          <w:p>
            <w:pPr>
              <w:spacing w:before="61" w:line="18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334" w:type="dxa"/>
            <w:gridSpan w:val="2"/>
            <w:vAlign w:val="center"/>
          </w:tcPr>
          <w:p>
            <w:pPr>
              <w:pStyle w:val="419"/>
              <w:keepNext w:val="0"/>
              <w:keepLines w:val="0"/>
              <w:pageBreakBefore w:val="0"/>
              <w:widowControl w:val="0"/>
              <w:kinsoku/>
              <w:wordWrap/>
              <w:overflowPunct/>
              <w:topLinePunct w:val="0"/>
              <w:autoSpaceDE/>
              <w:autoSpaceDN/>
              <w:bidi w:val="0"/>
              <w:adjustRightInd/>
              <w:snapToGrid/>
              <w:spacing w:before="68" w:line="465" w:lineRule="exact"/>
              <w:jc w:val="center"/>
              <w:textAlignment w:val="auto"/>
            </w:pPr>
            <w:r>
              <w:rPr>
                <w:spacing w:val="0"/>
                <w:position w:val="0"/>
                <w:sz w:val="21"/>
              </w:rPr>
              <w:t>产品性能先进性</w:t>
            </w:r>
          </w:p>
        </w:tc>
        <w:tc>
          <w:tcPr>
            <w:tcW w:w="645" w:type="dxa"/>
            <w:gridSpan w:val="2"/>
            <w:vAlign w:val="center"/>
          </w:tcPr>
          <w:p>
            <w:pPr>
              <w:spacing w:before="60"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7"/>
                <w:sz w:val="21"/>
                <w:szCs w:val="21"/>
                <w:lang w:val="en-US" w:eastAsia="zh-CN"/>
              </w:rPr>
              <w:t>3</w:t>
            </w:r>
            <w:r>
              <w:rPr>
                <w:rFonts w:hint="eastAsia" w:cs="Times New Roman"/>
                <w:spacing w:val="-7"/>
                <w:sz w:val="21"/>
                <w:szCs w:val="21"/>
                <w:lang w:val="en-US" w:eastAsia="zh-CN"/>
              </w:rPr>
              <w:t>7</w:t>
            </w:r>
          </w:p>
        </w:tc>
        <w:tc>
          <w:tcPr>
            <w:tcW w:w="5577" w:type="dxa"/>
            <w:gridSpan w:val="2"/>
            <w:vAlign w:val="center"/>
          </w:tcPr>
          <w:p>
            <w:pPr>
              <w:pStyle w:val="419"/>
              <w:keepNext w:val="0"/>
              <w:keepLines w:val="0"/>
              <w:pageBreakBefore w:val="0"/>
              <w:widowControl w:val="0"/>
              <w:kinsoku/>
              <w:wordWrap/>
              <w:overflowPunct/>
              <w:topLinePunct w:val="0"/>
              <w:autoSpaceDE/>
              <w:autoSpaceDN/>
              <w:bidi w:val="0"/>
              <w:adjustRightInd/>
              <w:snapToGrid/>
              <w:spacing w:line="440" w:lineRule="exact"/>
              <w:ind w:left="112" w:right="67" w:firstLine="404" w:firstLineChars="200"/>
              <w:jc w:val="both"/>
              <w:textAlignment w:val="auto"/>
              <w:rPr>
                <w:rFonts w:hint="eastAsia" w:eastAsia="宋体"/>
                <w:lang w:eastAsia="zh-CN"/>
              </w:rPr>
            </w:pPr>
            <w:r>
              <w:rPr>
                <w:spacing w:val="-4"/>
              </w:rPr>
              <w:t>评标委员会根据各投标人所投产品进行量化评审考量（比较各投标人投标产品的品牌、社会公认度、设计水平、制造工</w:t>
            </w:r>
            <w:r>
              <w:rPr>
                <w:spacing w:val="13"/>
              </w:rPr>
              <w:t xml:space="preserve"> </w:t>
            </w:r>
            <w:r>
              <w:rPr>
                <w:spacing w:val="-5"/>
              </w:rPr>
              <w:t>艺、安全稳定性、质量等因素）</w:t>
            </w:r>
            <w:r>
              <w:rPr>
                <w:spacing w:val="-53"/>
              </w:rPr>
              <w:t xml:space="preserve"> </w:t>
            </w:r>
            <w:r>
              <w:rPr>
                <w:spacing w:val="-5"/>
              </w:rPr>
              <w:t>在</w:t>
            </w:r>
            <w:r>
              <w:rPr>
                <w:rFonts w:hint="eastAsia"/>
                <w:spacing w:val="-36"/>
                <w:lang w:val="en-US" w:eastAsia="zh-CN"/>
              </w:rPr>
              <w:t>8</w:t>
            </w:r>
            <w:r>
              <w:rPr>
                <w:rFonts w:hint="eastAsia" w:ascii="Times New Roman" w:hAnsi="Times New Roman" w:cs="Times New Roman"/>
                <w:spacing w:val="-5"/>
                <w:lang w:val="en-US" w:eastAsia="zh-CN"/>
              </w:rPr>
              <w:t>.00-37.00</w:t>
            </w:r>
            <w:r>
              <w:rPr>
                <w:spacing w:val="-6"/>
              </w:rPr>
              <w:t>分之间酌情打</w:t>
            </w:r>
            <w:r>
              <w:rPr>
                <w:spacing w:val="-11"/>
              </w:rPr>
              <w:t>分。</w:t>
            </w:r>
            <w:r>
              <w:rPr>
                <w:rFonts w:hint="eastAsia"/>
                <w:spacing w:val="-11"/>
                <w:lang w:eastAsia="zh-CN"/>
              </w:rPr>
              <w:t>未提供不得分。</w:t>
            </w:r>
          </w:p>
        </w:tc>
        <w:tc>
          <w:tcPr>
            <w:tcW w:w="847" w:type="dxa"/>
            <w:gridSpan w:val="2"/>
            <w:vAlign w:val="center"/>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3" w:hRule="atLeast"/>
          <w:jc w:val="center"/>
        </w:trPr>
        <w:tc>
          <w:tcPr>
            <w:tcW w:w="562" w:type="dxa"/>
            <w:gridSpan w:val="2"/>
            <w:vAlign w:val="center"/>
          </w:tcPr>
          <w:p>
            <w:pPr>
              <w:spacing w:before="61" w:line="18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334" w:type="dxa"/>
            <w:gridSpan w:val="2"/>
            <w:vAlign w:val="center"/>
          </w:tcPr>
          <w:p>
            <w:pPr>
              <w:pStyle w:val="419"/>
              <w:spacing w:before="68" w:line="220" w:lineRule="auto"/>
              <w:jc w:val="center"/>
            </w:pPr>
            <w:r>
              <w:rPr>
                <w:spacing w:val="-2"/>
              </w:rPr>
              <w:t>省医药集中</w:t>
            </w:r>
            <w:r>
              <w:rPr>
                <w:spacing w:val="-1"/>
              </w:rPr>
              <w:t>采购平台执</w:t>
            </w:r>
            <w:r>
              <w:rPr>
                <w:spacing w:val="-3"/>
              </w:rPr>
              <w:t>行情况</w:t>
            </w:r>
          </w:p>
        </w:tc>
        <w:tc>
          <w:tcPr>
            <w:tcW w:w="645" w:type="dxa"/>
            <w:gridSpan w:val="2"/>
            <w:vAlign w:val="center"/>
          </w:tcPr>
          <w:p>
            <w:pPr>
              <w:pStyle w:val="419"/>
              <w:spacing w:before="68" w:line="182" w:lineRule="auto"/>
              <w:jc w:val="center"/>
              <w:rPr>
                <w:rFonts w:hint="eastAsia" w:eastAsia="宋体"/>
                <w:lang w:eastAsia="zh-CN"/>
              </w:rPr>
            </w:pPr>
            <w:r>
              <w:rPr>
                <w:rFonts w:hint="eastAsia"/>
                <w:spacing w:val="-6"/>
                <w:lang w:val="en-US" w:eastAsia="zh-CN"/>
              </w:rPr>
              <w:t>8</w:t>
            </w:r>
          </w:p>
        </w:tc>
        <w:tc>
          <w:tcPr>
            <w:tcW w:w="5577" w:type="dxa"/>
            <w:gridSpan w:val="2"/>
            <w:vAlign w:val="top"/>
          </w:tcPr>
          <w:p>
            <w:pPr>
              <w:pStyle w:val="419"/>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default"/>
                <w:lang w:val="en-US"/>
              </w:rPr>
            </w:pPr>
            <w:r>
              <w:rPr>
                <w:spacing w:val="4"/>
              </w:rPr>
              <w:t>所投产品为省医药集中采购平台高值耗材集</w:t>
            </w:r>
            <w:r>
              <w:rPr>
                <w:spacing w:val="-2"/>
              </w:rPr>
              <w:t>备案交易目录</w:t>
            </w:r>
            <w:r>
              <w:rPr>
                <w:rFonts w:hint="eastAsia"/>
                <w:spacing w:val="-2"/>
                <w:lang w:val="en-US" w:eastAsia="zh-CN"/>
              </w:rPr>
              <w:t>的，不得超过总产品数的5% 。</w:t>
            </w:r>
          </w:p>
          <w:p>
            <w:pPr>
              <w:pStyle w:val="41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eastAsia="宋体"/>
                <w:lang w:val="en-US" w:eastAsia="zh-CN"/>
              </w:rPr>
            </w:pPr>
            <w:r>
              <w:rPr>
                <w:spacing w:val="0"/>
                <w:position w:val="0"/>
                <w:sz w:val="21"/>
              </w:rPr>
              <w:t>投标人须在投标文件中提供在省医药集中采购平台数据截图，不全、不清楚的不得分。</w:t>
            </w:r>
          </w:p>
        </w:tc>
        <w:tc>
          <w:tcPr>
            <w:tcW w:w="847"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3" w:hRule="atLeast"/>
          <w:jc w:val="center"/>
        </w:trPr>
        <w:tc>
          <w:tcPr>
            <w:tcW w:w="562" w:type="dxa"/>
            <w:gridSpan w:val="2"/>
            <w:vAlign w:val="center"/>
          </w:tcPr>
          <w:p>
            <w:pPr>
              <w:spacing w:before="60" w:line="183" w:lineRule="auto"/>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6</w:t>
            </w:r>
          </w:p>
        </w:tc>
        <w:tc>
          <w:tcPr>
            <w:tcW w:w="1334" w:type="dxa"/>
            <w:gridSpan w:val="2"/>
            <w:vAlign w:val="center"/>
          </w:tcPr>
          <w:p>
            <w:pPr>
              <w:pStyle w:val="419"/>
              <w:spacing w:before="69" w:line="465" w:lineRule="exact"/>
              <w:jc w:val="center"/>
            </w:pPr>
            <w:r>
              <w:rPr>
                <w:spacing w:val="0"/>
                <w:position w:val="0"/>
                <w:sz w:val="21"/>
              </w:rPr>
              <w:t>报价（费率）</w:t>
            </w:r>
          </w:p>
        </w:tc>
        <w:tc>
          <w:tcPr>
            <w:tcW w:w="645" w:type="dxa"/>
            <w:gridSpan w:val="2"/>
            <w:vAlign w:val="center"/>
          </w:tcPr>
          <w:p>
            <w:pPr>
              <w:pStyle w:val="419"/>
              <w:spacing w:before="69" w:line="181" w:lineRule="auto"/>
              <w:jc w:val="center"/>
              <w:rPr>
                <w:rFonts w:hint="default" w:eastAsia="宋体"/>
                <w:lang w:val="en-US" w:eastAsia="zh-CN"/>
              </w:rPr>
            </w:pPr>
            <w:r>
              <w:rPr>
                <w:rFonts w:hint="eastAsia"/>
                <w:spacing w:val="-4"/>
                <w:lang w:val="en-US" w:eastAsia="zh-CN"/>
              </w:rPr>
              <w:t>30</w:t>
            </w:r>
          </w:p>
        </w:tc>
        <w:tc>
          <w:tcPr>
            <w:tcW w:w="5577" w:type="dxa"/>
            <w:gridSpan w:val="2"/>
            <w:vAlign w:val="top"/>
          </w:tcPr>
          <w:p>
            <w:pPr>
              <w:pStyle w:val="419"/>
              <w:keepNext w:val="0"/>
              <w:keepLines w:val="0"/>
              <w:pageBreakBefore w:val="0"/>
              <w:widowControl w:val="0"/>
              <w:kinsoku/>
              <w:wordWrap/>
              <w:overflowPunct/>
              <w:topLinePunct w:val="0"/>
              <w:autoSpaceDE/>
              <w:autoSpaceDN/>
              <w:bidi w:val="0"/>
              <w:adjustRightInd/>
              <w:snapToGrid/>
              <w:spacing w:line="560" w:lineRule="exact"/>
              <w:ind w:left="113" w:firstLine="400" w:firstLineChars="200"/>
              <w:textAlignment w:val="auto"/>
              <w:rPr>
                <w:spacing w:val="-16"/>
              </w:rPr>
            </w:pPr>
            <w:r>
              <w:rPr>
                <w:spacing w:val="-5"/>
              </w:rPr>
              <w:t>投标人报价得分</w:t>
            </w:r>
            <w:r>
              <w:rPr>
                <w:spacing w:val="-8"/>
              </w:rPr>
              <w:t>＝（</w:t>
            </w:r>
            <w:r>
              <w:rPr>
                <w:spacing w:val="-5"/>
              </w:rPr>
              <w:t>评标基准费率/投标费率）×</w:t>
            </w:r>
            <w:r>
              <w:rPr>
                <w:rFonts w:hint="eastAsia"/>
                <w:spacing w:val="-5"/>
                <w:lang w:val="en-US" w:eastAsia="zh-CN"/>
              </w:rPr>
              <w:t>3</w:t>
            </w:r>
            <w:r>
              <w:rPr>
                <w:spacing w:val="-5"/>
              </w:rPr>
              <w:t>0%×1</w:t>
            </w:r>
            <w:r>
              <w:rPr>
                <w:spacing w:val="-6"/>
              </w:rPr>
              <w:t>00；</w:t>
            </w:r>
            <w:r>
              <w:t xml:space="preserve"> </w:t>
            </w:r>
            <w:r>
              <w:rPr>
                <w:spacing w:val="4"/>
              </w:rPr>
              <w:t>评标基准费率为满足招标文件要求且投标费率最低的投标</w:t>
            </w:r>
            <w:r>
              <w:rPr>
                <w:spacing w:val="-16"/>
              </w:rPr>
              <w:t>费率；</w:t>
            </w:r>
          </w:p>
          <w:p>
            <w:pPr>
              <w:pStyle w:val="419"/>
              <w:keepNext w:val="0"/>
              <w:keepLines w:val="0"/>
              <w:pageBreakBefore w:val="0"/>
              <w:widowControl w:val="0"/>
              <w:kinsoku/>
              <w:wordWrap/>
              <w:overflowPunct/>
              <w:topLinePunct w:val="0"/>
              <w:autoSpaceDE/>
              <w:autoSpaceDN/>
              <w:bidi w:val="0"/>
              <w:adjustRightInd/>
              <w:snapToGrid/>
              <w:spacing w:line="560" w:lineRule="exact"/>
              <w:ind w:left="113" w:firstLine="420" w:firstLineChars="200"/>
              <w:textAlignment w:val="auto"/>
            </w:pPr>
            <w:r>
              <w:rPr>
                <w:spacing w:val="0"/>
                <w:position w:val="0"/>
                <w:sz w:val="21"/>
              </w:rPr>
              <w:t>投标人所报费率为投标函中投标费率。（商务报价分计算至小数点后第二位、小数点后第三位四舍五入）</w:t>
            </w:r>
          </w:p>
        </w:tc>
        <w:tc>
          <w:tcPr>
            <w:tcW w:w="847" w:type="dxa"/>
            <w:gridSpan w:val="2"/>
            <w:vAlign w:val="top"/>
          </w:tcPr>
          <w:p>
            <w:pPr>
              <w:rPr>
                <w:rFonts w:ascii="Arial"/>
                <w:sz w:val="21"/>
              </w:rPr>
            </w:pPr>
          </w:p>
        </w:tc>
      </w:tr>
    </w:tbl>
    <w:p>
      <w:pPr>
        <w:pStyle w:val="26"/>
        <w:keepNext w:val="0"/>
        <w:keepLines w:val="0"/>
        <w:pageBreakBefore w:val="0"/>
        <w:widowControl w:val="0"/>
        <w:kinsoku/>
        <w:wordWrap/>
        <w:overflowPunct/>
        <w:topLinePunct w:val="0"/>
        <w:autoSpaceDE/>
        <w:autoSpaceDN/>
        <w:bidi w:val="0"/>
        <w:adjustRightInd/>
        <w:snapToGrid/>
        <w:spacing w:line="560" w:lineRule="exact"/>
        <w:ind w:firstLine="392" w:firstLineChars="200"/>
        <w:textAlignment w:val="auto"/>
        <w:rPr>
          <w:rFonts w:hint="eastAsia" w:ascii="宋体" w:hAnsi="宋体" w:eastAsia="宋体" w:cs="宋体"/>
          <w:sz w:val="21"/>
          <w:szCs w:val="21"/>
        </w:rPr>
      </w:pPr>
      <w:r>
        <w:rPr>
          <w:rFonts w:hint="eastAsia" w:ascii="宋体" w:hAnsi="宋体" w:eastAsia="宋体" w:cs="宋体"/>
          <w:spacing w:val="-7"/>
          <w:sz w:val="21"/>
          <w:szCs w:val="21"/>
          <w14:textOutline w14:w="3810" w14:cap="flat" w14:cmpd="sng">
            <w14:solidFill>
              <w14:srgbClr w14:val="000000"/>
            </w14:solidFill>
            <w14:prstDash w14:val="solid"/>
            <w14:miter w14:val="0"/>
          </w14:textOutline>
        </w:rPr>
        <w:t>备注：</w:t>
      </w:r>
    </w:p>
    <w:p>
      <w:pPr>
        <w:pStyle w:val="26"/>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14:textOutline w14:w="3810" w14:cap="flat" w14:cmpd="sng">
            <w14:solidFill>
              <w14:srgbClr w14:val="000000"/>
            </w14:solidFill>
            <w14:prstDash w14:val="solid"/>
            <w14:miter w14:val="0"/>
          </w14:textOutline>
        </w:rPr>
        <w:t>（1）</w:t>
      </w:r>
      <w:r>
        <w:rPr>
          <w:rFonts w:hint="eastAsia" w:ascii="宋体" w:hAnsi="宋体" w:eastAsia="宋体" w:cs="宋体"/>
          <w:spacing w:val="-34"/>
          <w:sz w:val="21"/>
          <w:szCs w:val="21"/>
        </w:rPr>
        <w:t xml:space="preserve"> </w:t>
      </w:r>
      <w:r>
        <w:rPr>
          <w:rFonts w:hint="eastAsia" w:ascii="宋体" w:hAnsi="宋体" w:eastAsia="宋体" w:cs="宋体"/>
          <w:sz w:val="21"/>
          <w:szCs w:val="21"/>
          <w14:textOutline w14:w="3810" w14:cap="flat" w14:cmpd="sng">
            <w14:solidFill>
              <w14:srgbClr w14:val="000000"/>
            </w14:solidFill>
            <w14:prstDash w14:val="solid"/>
            <w14:miter w14:val="0"/>
          </w14:textOutline>
        </w:rPr>
        <w:t>以上评分汇总分精确至小数点后二位、小数点后第三位四舍五入。</w:t>
      </w:r>
    </w:p>
    <w:p>
      <w:pPr>
        <w:pStyle w:val="26"/>
        <w:keepNext w:val="0"/>
        <w:keepLines w:val="0"/>
        <w:pageBreakBefore w:val="0"/>
        <w:widowControl w:val="0"/>
        <w:kinsoku/>
        <w:wordWrap/>
        <w:overflowPunct/>
        <w:topLinePunct w:val="0"/>
        <w:autoSpaceDE/>
        <w:autoSpaceDN/>
        <w:bidi w:val="0"/>
        <w:adjustRightInd/>
        <w:snapToGrid/>
        <w:spacing w:line="560" w:lineRule="exact"/>
        <w:ind w:firstLine="408" w:firstLineChars="200"/>
        <w:jc w:val="both"/>
        <w:textAlignment w:val="auto"/>
        <w:rPr>
          <w:rFonts w:hint="eastAsia" w:ascii="宋体" w:hAnsi="宋体" w:eastAsia="宋体" w:cs="宋体"/>
          <w:sz w:val="21"/>
          <w:szCs w:val="21"/>
        </w:rPr>
      </w:pPr>
      <w:r>
        <w:rPr>
          <w:rFonts w:hint="eastAsia" w:ascii="宋体" w:hAnsi="宋体" w:eastAsia="宋体" w:cs="宋体"/>
          <w:spacing w:val="-3"/>
          <w:sz w:val="21"/>
          <w:szCs w:val="21"/>
          <w14:textOutline w14:w="3810" w14:cap="flat" w14:cmpd="sng">
            <w14:solidFill>
              <w14:srgbClr w14:val="000000"/>
            </w14:solidFill>
            <w14:prstDash w14:val="solid"/>
            <w14:miter w14:val="0"/>
          </w14:textOutline>
        </w:rPr>
        <w:t>（2）投标人提供的业绩证明材料要能清晰反映业绩评分的实质内容，</w:t>
      </w:r>
      <w:r>
        <w:rPr>
          <w:rFonts w:hint="eastAsia" w:ascii="宋体" w:hAnsi="宋体" w:eastAsia="宋体" w:cs="宋体"/>
          <w:spacing w:val="-59"/>
          <w:sz w:val="21"/>
          <w:szCs w:val="21"/>
        </w:rPr>
        <w:t xml:space="preserve"> </w:t>
      </w:r>
      <w:r>
        <w:rPr>
          <w:rFonts w:hint="eastAsia" w:ascii="宋体" w:hAnsi="宋体" w:eastAsia="宋体" w:cs="宋体"/>
          <w:spacing w:val="-3"/>
          <w:sz w:val="21"/>
          <w:szCs w:val="21"/>
          <w14:textOutline w14:w="3810" w14:cap="flat" w14:cmpd="sng">
            <w14:solidFill>
              <w14:srgbClr w14:val="000000"/>
            </w14:solidFill>
            <w14:prstDash w14:val="solid"/>
            <w14:miter w14:val="0"/>
          </w14:textOutline>
        </w:rPr>
        <w:t>否则评标委</w:t>
      </w:r>
      <w:r>
        <w:rPr>
          <w:rFonts w:hint="eastAsia" w:ascii="宋体" w:hAnsi="宋体" w:eastAsia="宋体" w:cs="宋体"/>
          <w:spacing w:val="-4"/>
          <w:sz w:val="21"/>
          <w:szCs w:val="21"/>
          <w14:textOutline w14:w="3810" w14:cap="flat" w14:cmpd="sng">
            <w14:solidFill>
              <w14:srgbClr w14:val="000000"/>
            </w14:solidFill>
            <w14:prstDash w14:val="solid"/>
            <w14:miter w14:val="0"/>
          </w14:textOutline>
        </w:rPr>
        <w:t>员会不予认可。</w:t>
      </w:r>
    </w:p>
    <w:p>
      <w:pPr>
        <w:pStyle w:val="26"/>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pacing w:val="0"/>
          <w:position w:val="0"/>
          <w:sz w:val="21"/>
          <w:szCs w:val="21"/>
          <w14:textOutline w14:w="3810" w14:cap="flat" w14:cmpd="sng">
            <w14:solidFill>
              <w14:srgbClr w14:val="000000"/>
            </w14:solidFill>
            <w14:prstDash w14:val="solid"/>
            <w14:miter w14:val="0"/>
          </w14:textOutline>
        </w:rPr>
        <w:t>（3）以上评分项中要求投标人提供复印件或影印件或扫描件等相关证明材料的，相关证明材料均须加盖投标人公章，否则该项均不得分。</w:t>
      </w:r>
    </w:p>
    <w:p>
      <w:pPr>
        <w:pStyle w:val="26"/>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报价评审：投标费率不得超过最</w:t>
      </w:r>
      <w:r>
        <w:rPr>
          <w:rFonts w:hint="eastAsia" w:ascii="宋体" w:hAnsi="宋体" w:eastAsia="宋体" w:cs="宋体"/>
          <w:spacing w:val="-1"/>
          <w:sz w:val="21"/>
          <w:szCs w:val="21"/>
        </w:rPr>
        <w:t>高投标费率，否则为无效报价，即报价评审不通过。</w:t>
      </w:r>
    </w:p>
    <w:p>
      <w:pPr>
        <w:pStyle w:val="26"/>
        <w:keepNext w:val="0"/>
        <w:keepLines w:val="0"/>
        <w:pageBreakBefore w:val="0"/>
        <w:widowControl w:val="0"/>
        <w:kinsoku/>
        <w:wordWrap/>
        <w:overflowPunct/>
        <w:topLinePunct w:val="0"/>
        <w:autoSpaceDE/>
        <w:autoSpaceDN/>
        <w:bidi w:val="0"/>
        <w:adjustRightInd/>
        <w:snapToGrid/>
        <w:spacing w:line="560" w:lineRule="exact"/>
        <w:ind w:right="62"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评标委员会发现投标人的投标费率明显不合理或者低于成本，有可能影响服务质量和不能诚信</w:t>
      </w:r>
      <w:r>
        <w:rPr>
          <w:rFonts w:hint="eastAsia" w:ascii="宋体" w:hAnsi="宋体" w:eastAsia="宋体" w:cs="宋体"/>
          <w:spacing w:val="11"/>
          <w:sz w:val="21"/>
          <w:szCs w:val="21"/>
        </w:rPr>
        <w:t xml:space="preserve"> </w:t>
      </w:r>
      <w:r>
        <w:rPr>
          <w:rFonts w:hint="eastAsia" w:ascii="宋体" w:hAnsi="宋体" w:eastAsia="宋体" w:cs="宋体"/>
          <w:spacing w:val="-4"/>
          <w:sz w:val="21"/>
          <w:szCs w:val="21"/>
        </w:rPr>
        <w:t>履约的，</w:t>
      </w:r>
      <w:r>
        <w:rPr>
          <w:rFonts w:hint="eastAsia" w:ascii="宋体" w:hAnsi="宋体" w:eastAsia="宋体" w:cs="宋体"/>
          <w:spacing w:val="-51"/>
          <w:sz w:val="21"/>
          <w:szCs w:val="21"/>
        </w:rPr>
        <w:t xml:space="preserve"> </w:t>
      </w:r>
      <w:r>
        <w:rPr>
          <w:rFonts w:hint="eastAsia" w:ascii="宋体" w:hAnsi="宋体" w:eastAsia="宋体" w:cs="宋体"/>
          <w:spacing w:val="-4"/>
          <w:sz w:val="21"/>
          <w:szCs w:val="21"/>
        </w:rPr>
        <w:t>评标委员会可以通过电子</w:t>
      </w:r>
      <w:r>
        <w:rPr>
          <w:rFonts w:hint="eastAsia" w:ascii="宋体" w:hAnsi="宋体" w:eastAsia="宋体" w:cs="宋体"/>
          <w:spacing w:val="-4"/>
          <w:sz w:val="21"/>
          <w:szCs w:val="21"/>
          <w:lang w:val="en-US" w:eastAsia="zh-CN"/>
        </w:rPr>
        <w:t>邮箱</w:t>
      </w:r>
      <w:r>
        <w:rPr>
          <w:rFonts w:hint="eastAsia" w:ascii="宋体" w:hAnsi="宋体" w:eastAsia="宋体" w:cs="宋体"/>
          <w:spacing w:val="-4"/>
          <w:sz w:val="21"/>
          <w:szCs w:val="21"/>
        </w:rPr>
        <w:t>系统对投标人进行询标，</w:t>
      </w:r>
      <w:r>
        <w:rPr>
          <w:rFonts w:hint="eastAsia" w:ascii="宋体" w:hAnsi="宋体" w:eastAsia="宋体" w:cs="宋体"/>
          <w:spacing w:val="-49"/>
          <w:sz w:val="21"/>
          <w:szCs w:val="21"/>
        </w:rPr>
        <w:t xml:space="preserve"> </w:t>
      </w:r>
      <w:r>
        <w:rPr>
          <w:rFonts w:hint="eastAsia" w:ascii="宋体" w:hAnsi="宋体" w:eastAsia="宋体" w:cs="宋体"/>
          <w:spacing w:val="-4"/>
          <w:sz w:val="21"/>
          <w:szCs w:val="21"/>
        </w:rPr>
        <w:t>要求</w:t>
      </w:r>
      <w:r>
        <w:rPr>
          <w:rFonts w:hint="eastAsia" w:ascii="宋体" w:hAnsi="宋体" w:eastAsia="宋体" w:cs="宋体"/>
          <w:spacing w:val="-5"/>
          <w:sz w:val="21"/>
          <w:szCs w:val="21"/>
        </w:rPr>
        <w:t>投标人在</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30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分钟内通过系统进</w:t>
      </w:r>
      <w:r>
        <w:rPr>
          <w:rFonts w:hint="eastAsia" w:ascii="宋体" w:hAnsi="宋体" w:eastAsia="宋体" w:cs="宋体"/>
          <w:sz w:val="21"/>
          <w:szCs w:val="21"/>
        </w:rPr>
        <w:t>行回复，必要时可提交相关证明材料；投标人不能证明其报价合理性的，评标委员会应当将其作为</w:t>
      </w:r>
      <w:r>
        <w:rPr>
          <w:rFonts w:hint="eastAsia" w:ascii="宋体" w:hAnsi="宋体" w:eastAsia="宋体" w:cs="宋体"/>
          <w:spacing w:val="-5"/>
          <w:sz w:val="21"/>
          <w:szCs w:val="21"/>
        </w:rPr>
        <w:t>无效投标处理。</w:t>
      </w:r>
    </w:p>
    <w:p>
      <w:pPr>
        <w:pStyle w:val="26"/>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s="宋体"/>
          <w:color w:val="auto"/>
          <w:spacing w:val="0"/>
          <w:position w:val="0"/>
          <w:sz w:val="21"/>
          <w:szCs w:val="21"/>
          <w:highlight w:val="none"/>
          <w:lang w:val="en-US" w:eastAsia="zh-CN"/>
        </w:rPr>
        <w:sectPr>
          <w:footerReference r:id="rId6" w:type="default"/>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s="宋体"/>
          <w:spacing w:val="0"/>
          <w:position w:val="0"/>
          <w:sz w:val="21"/>
          <w:szCs w:val="21"/>
          <w14:textOutline w14:w="3810" w14:cap="flat" w14:cmpd="sng">
            <w14:solidFill>
              <w14:srgbClr w14:val="000000"/>
            </w14:solidFill>
            <w14:prstDash w14:val="solid"/>
            <w14:miter w14:val="0"/>
          </w14:textOutline>
        </w:rPr>
        <w:t>投标人投标费率与公布的最高投标费率相比降幅过小，或投标人投标费率明显缺乏竞争性的，评标委员会可以否决所有投标。若服务报价表投标费率与投标函投标费率不一致的，</w:t>
      </w:r>
      <w:r>
        <w:rPr>
          <w:rFonts w:hint="eastAsia" w:ascii="宋体" w:hAnsi="宋体" w:eastAsia="宋体" w:cs="宋体"/>
          <w:spacing w:val="0"/>
          <w:position w:val="0"/>
          <w:sz w:val="21"/>
          <w:szCs w:val="21"/>
        </w:rPr>
        <w:t xml:space="preserve"> </w:t>
      </w:r>
      <w:r>
        <w:rPr>
          <w:rFonts w:hint="eastAsia" w:ascii="宋体" w:hAnsi="宋体" w:eastAsia="宋体" w:cs="宋体"/>
          <w:spacing w:val="0"/>
          <w:position w:val="0"/>
          <w:sz w:val="21"/>
          <w:szCs w:val="21"/>
          <w14:textOutline w14:w="3810" w14:cap="flat" w14:cmpd="sng">
            <w14:solidFill>
              <w14:srgbClr w14:val="000000"/>
            </w14:solidFill>
            <w14:prstDash w14:val="solid"/>
            <w14:miter w14:val="0"/>
          </w14:textOutline>
        </w:rPr>
        <w:t>服务报价表中各项投标费率不一致的视为无效报价。</w:t>
      </w:r>
    </w:p>
    <w:p>
      <w:pPr>
        <w:pStyle w:val="2"/>
        <w:numPr>
          <w:ilvl w:val="0"/>
          <w:numId w:val="0"/>
        </w:numPr>
        <w:tabs>
          <w:tab w:val="clear" w:pos="1440"/>
          <w:tab w:val="clear" w:pos="5670"/>
        </w:tabs>
        <w:ind w:leftChars="1203"/>
        <w:rPr>
          <w:color w:val="auto"/>
          <w:highlight w:val="none"/>
        </w:rPr>
      </w:pPr>
      <w:bookmarkStart w:id="83" w:name="_Toc27586"/>
      <w:bookmarkStart w:id="84" w:name="_Toc431"/>
      <w:bookmarkStart w:id="85" w:name="_Toc3977"/>
      <w:bookmarkStart w:id="86" w:name="_Toc7241"/>
      <w:bookmarkStart w:id="87" w:name="_Toc28300"/>
      <w:bookmarkStart w:id="88" w:name="_Toc10569"/>
      <w:bookmarkStart w:id="89" w:name="_Toc54941340"/>
      <w:r>
        <w:rPr>
          <w:rFonts w:hint="eastAsia"/>
          <w:color w:val="auto"/>
          <w:highlight w:val="none"/>
          <w:lang w:val="en-US" w:eastAsia="zh-CN"/>
        </w:rPr>
        <w:t xml:space="preserve">第五章  </w:t>
      </w:r>
      <w:r>
        <w:rPr>
          <w:rFonts w:hint="eastAsia"/>
          <w:color w:val="auto"/>
          <w:highlight w:val="none"/>
        </w:rPr>
        <w:t>政府采购合同主要条款</w:t>
      </w:r>
      <w:bookmarkEnd w:id="83"/>
      <w:bookmarkEnd w:id="84"/>
      <w:bookmarkEnd w:id="85"/>
      <w:bookmarkEnd w:id="86"/>
      <w:bookmarkEnd w:id="87"/>
      <w:r>
        <w:rPr>
          <w:rFonts w:hint="eastAsia"/>
          <w:color w:val="auto"/>
          <w:highlight w:val="none"/>
        </w:rPr>
        <w:t xml:space="preserve"> </w:t>
      </w:r>
    </w:p>
    <w:p>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货物类合同条款</w:t>
      </w:r>
    </w:p>
    <w:p>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pPr>
        <w:spacing w:line="480" w:lineRule="auto"/>
        <w:jc w:val="center"/>
        <w:rPr>
          <w:rFonts w:asciiTheme="minorEastAsia" w:hAnsiTheme="minorEastAsia" w:eastAsiaTheme="minorEastAsia"/>
          <w:b/>
          <w:color w:val="auto"/>
          <w:sz w:val="24"/>
          <w:highlight w:val="none"/>
        </w:rPr>
      </w:pPr>
    </w:p>
    <w:p>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项目名称：______________________________</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_______________</w:t>
      </w:r>
    </w:p>
    <w:p>
      <w:pPr>
        <w:spacing w:before="120" w:line="480" w:lineRule="auto"/>
        <w:ind w:left="960"/>
        <w:rPr>
          <w:rFonts w:asciiTheme="minorEastAsia" w:hAnsiTheme="minorEastAsia" w:eastAsiaTheme="minorEastAsia"/>
          <w:color w:val="auto"/>
          <w:sz w:val="24"/>
          <w:highlight w:val="none"/>
        </w:rPr>
      </w:pPr>
    </w:p>
    <w:p>
      <w:pPr>
        <w:spacing w:before="120" w:line="480" w:lineRule="auto"/>
        <w:ind w:left="960"/>
        <w:rPr>
          <w:rFonts w:asciiTheme="minorEastAsia" w:hAnsiTheme="minorEastAsia" w:eastAsiaTheme="minorEastAsia"/>
          <w:color w:val="auto"/>
          <w:sz w:val="24"/>
          <w:highlight w:val="none"/>
        </w:rPr>
      </w:pPr>
    </w:p>
    <w:p>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pPr>
        <w:spacing w:before="120" w:line="480" w:lineRule="auto"/>
        <w:ind w:left="960"/>
        <w:rPr>
          <w:rFonts w:asciiTheme="minorEastAsia" w:hAnsiTheme="minorEastAsia" w:eastAsiaTheme="minorEastAsia"/>
          <w:color w:val="auto"/>
          <w:sz w:val="24"/>
          <w:highlight w:val="none"/>
        </w:rPr>
      </w:pPr>
    </w:p>
    <w:p>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spacing w:before="120" w:line="480" w:lineRule="auto"/>
        <w:ind w:firstLine="960" w:firstLineChars="400"/>
        <w:rPr>
          <w:rFonts w:asciiTheme="minorEastAsia" w:hAnsiTheme="minorEastAsia" w:eastAsiaTheme="minorEastAsia"/>
          <w:color w:val="auto"/>
          <w:sz w:val="24"/>
          <w:highlight w:val="none"/>
        </w:rPr>
      </w:pPr>
    </w:p>
    <w:p>
      <w:pPr>
        <w:spacing w:before="120" w:line="480" w:lineRule="auto"/>
        <w:ind w:firstLine="960" w:firstLineChars="400"/>
        <w:rPr>
          <w:rFonts w:asciiTheme="minorEastAsia" w:hAnsiTheme="minorEastAsia" w:eastAsiaTheme="minorEastAsia"/>
          <w:color w:val="auto"/>
          <w:sz w:val="24"/>
          <w:highlight w:val="none"/>
        </w:rPr>
      </w:pPr>
    </w:p>
    <w:p>
      <w:pPr>
        <w:spacing w:before="120" w:line="480" w:lineRule="auto"/>
        <w:ind w:firstLine="960" w:firstLineChars="400"/>
        <w:rPr>
          <w:rFonts w:asciiTheme="minorEastAsia" w:hAnsiTheme="minorEastAsia" w:eastAsiaTheme="minorEastAsia"/>
          <w:color w:val="auto"/>
          <w:sz w:val="24"/>
          <w:highlight w:val="none"/>
        </w:rPr>
      </w:pPr>
    </w:p>
    <w:p>
      <w:pPr>
        <w:spacing w:before="120" w:line="480" w:lineRule="auto"/>
        <w:rPr>
          <w:rFonts w:asciiTheme="minorEastAsia" w:hAnsiTheme="minorEastAsia" w:eastAsiaTheme="minorEastAsia"/>
          <w:color w:val="auto"/>
          <w:sz w:val="24"/>
          <w:highlight w:val="none"/>
        </w:rPr>
      </w:pPr>
    </w:p>
    <w:p>
      <w:pPr>
        <w:spacing w:before="120" w:line="480" w:lineRule="auto"/>
        <w:ind w:firstLine="960" w:firstLineChars="400"/>
        <w:rPr>
          <w:rFonts w:asciiTheme="minorEastAsia" w:hAnsiTheme="minorEastAsia" w:eastAsiaTheme="minorEastAsia"/>
          <w:color w:val="auto"/>
          <w:sz w:val="24"/>
          <w:highlight w:val="none"/>
        </w:rPr>
      </w:pPr>
    </w:p>
    <w:p>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pPr>
        <w:spacing w:before="120" w:line="480" w:lineRule="auto"/>
        <w:ind w:firstLine="960" w:firstLineChars="400"/>
        <w:rPr>
          <w:rFonts w:asciiTheme="minorEastAsia" w:hAnsiTheme="minorEastAsia" w:eastAsiaTheme="minorEastAsia"/>
          <w:color w:val="auto"/>
          <w:sz w:val="24"/>
          <w:highlight w:val="none"/>
        </w:rPr>
      </w:pPr>
    </w:p>
    <w:p>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pPr>
        <w:pStyle w:val="74"/>
        <w:rPr>
          <w:color w:val="auto"/>
          <w:highlight w:val="none"/>
        </w:rPr>
      </w:pP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根据《中华人民共和国民法典》、《中华人民共和国政府采购法》等相关法律法规的规定，按照平等、自愿、公平和诚实信用的原则，经甲方和乙方协商一致，约定下述合同条款，以共同遵守并全面履行。</w:t>
      </w:r>
    </w:p>
    <w:p>
      <w:pPr>
        <w:spacing w:line="360" w:lineRule="auto"/>
        <w:ind w:firstLine="437"/>
        <w:outlineLvl w:val="3"/>
        <w:rPr>
          <w:rFonts w:asciiTheme="minorEastAsia" w:hAnsiTheme="minorEastAsia" w:eastAsiaTheme="minorEastAsia"/>
          <w:b/>
          <w:bCs/>
          <w:color w:val="auto"/>
          <w:sz w:val="24"/>
          <w:highlight w:val="none"/>
          <w:lang w:val="zh-CN"/>
        </w:rPr>
      </w:pPr>
      <w:bookmarkStart w:id="90" w:name="_Toc3029"/>
      <w:bookmarkStart w:id="91" w:name="_Toc2232"/>
      <w:bookmarkStart w:id="92"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90"/>
      <w:bookmarkEnd w:id="91"/>
      <w:bookmarkEnd w:id="92"/>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pPr>
        <w:spacing w:line="360" w:lineRule="auto"/>
        <w:ind w:firstLine="437"/>
        <w:outlineLvl w:val="3"/>
        <w:rPr>
          <w:rFonts w:asciiTheme="minorEastAsia" w:hAnsiTheme="minorEastAsia" w:eastAsiaTheme="minorEastAsia"/>
          <w:b/>
          <w:bCs/>
          <w:color w:val="auto"/>
          <w:sz w:val="24"/>
          <w:highlight w:val="none"/>
          <w:lang w:val="zh-CN"/>
        </w:rPr>
      </w:pPr>
      <w:bookmarkStart w:id="93" w:name="_Toc24300"/>
      <w:bookmarkStart w:id="94" w:name="_Toc27126"/>
      <w:bookmarkStart w:id="95" w:name="_Toc21295"/>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93"/>
      <w:bookmarkEnd w:id="94"/>
      <w:bookmarkEnd w:id="95"/>
    </w:p>
    <w:tbl>
      <w:tblPr>
        <w:tblStyle w:val="417"/>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pPr>
              <w:jc w:val="center"/>
              <w:rPr>
                <w:rFonts w:hint="eastAsia" w:asciiTheme="minorEastAsia" w:hAnsiTheme="minorEastAsia" w:eastAsiaTheme="minorEastAsia"/>
                <w:color w:val="auto"/>
                <w:sz w:val="24"/>
                <w:highlight w:val="none"/>
                <w:lang w:val="zh-CN" w:eastAsia="zh-CN"/>
              </w:rPr>
            </w:pPr>
            <w:r>
              <w:rPr>
                <w:rFonts w:hint="eastAsia" w:asciiTheme="minorEastAsia" w:hAnsiTheme="minorEastAsia" w:eastAsiaTheme="minorEastAsia"/>
                <w:color w:val="auto"/>
                <w:sz w:val="24"/>
                <w:highlight w:val="none"/>
                <w:lang w:val="en-US" w:eastAsia="zh-CN"/>
              </w:rPr>
              <w:t>费率</w:t>
            </w:r>
          </w:p>
        </w:tc>
        <w:tc>
          <w:tcPr>
            <w:tcW w:w="1183" w:type="dxa"/>
            <w:vAlign w:val="center"/>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pPr>
              <w:jc w:val="center"/>
              <w:rPr>
                <w:rFonts w:asciiTheme="minorEastAsia" w:hAnsiTheme="minorEastAsia" w:eastAsiaTheme="minorEastAsia"/>
                <w:color w:val="auto"/>
                <w:sz w:val="24"/>
                <w:highlight w:val="none"/>
                <w:lang w:val="zh-CN"/>
              </w:rPr>
            </w:pPr>
          </w:p>
        </w:tc>
        <w:tc>
          <w:tcPr>
            <w:tcW w:w="1651"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183" w:type="dxa"/>
            <w:vAlign w:val="center"/>
          </w:tcPr>
          <w:p>
            <w:pPr>
              <w:jc w:val="center"/>
              <w:rPr>
                <w:rFonts w:asciiTheme="minorEastAsia" w:hAnsiTheme="minorEastAsia" w:eastAsiaTheme="minorEastAsia"/>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pPr>
              <w:jc w:val="center"/>
              <w:rPr>
                <w:rFonts w:asciiTheme="minorEastAsia" w:hAnsiTheme="minorEastAsia" w:eastAsiaTheme="minorEastAsia"/>
                <w:color w:val="auto"/>
                <w:sz w:val="24"/>
                <w:highlight w:val="none"/>
                <w:lang w:val="zh-CN"/>
              </w:rPr>
            </w:pPr>
          </w:p>
        </w:tc>
        <w:tc>
          <w:tcPr>
            <w:tcW w:w="1651"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183" w:type="dxa"/>
            <w:vAlign w:val="center"/>
          </w:tcPr>
          <w:p>
            <w:pPr>
              <w:jc w:val="center"/>
              <w:rPr>
                <w:rFonts w:asciiTheme="minorEastAsia" w:hAnsiTheme="minorEastAsia" w:eastAsiaTheme="minorEastAsia"/>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pPr>
              <w:jc w:val="center"/>
              <w:rPr>
                <w:rFonts w:asciiTheme="minorEastAsia" w:hAnsiTheme="minorEastAsia" w:eastAsiaTheme="minorEastAsia"/>
                <w:color w:val="auto"/>
                <w:sz w:val="24"/>
                <w:highlight w:val="none"/>
                <w:lang w:val="zh-CN"/>
              </w:rPr>
            </w:pPr>
          </w:p>
        </w:tc>
        <w:tc>
          <w:tcPr>
            <w:tcW w:w="1651"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183" w:type="dxa"/>
            <w:vAlign w:val="center"/>
          </w:tcPr>
          <w:p>
            <w:pPr>
              <w:jc w:val="center"/>
              <w:rPr>
                <w:rFonts w:asciiTheme="minorEastAsia" w:hAnsiTheme="minorEastAsia" w:eastAsiaTheme="minorEastAsia"/>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pPr>
              <w:jc w:val="center"/>
              <w:rPr>
                <w:rFonts w:asciiTheme="minorEastAsia" w:hAnsiTheme="minorEastAsia" w:eastAsiaTheme="minorEastAsia"/>
                <w:color w:val="auto"/>
                <w:sz w:val="24"/>
                <w:highlight w:val="none"/>
                <w:lang w:val="zh-CN"/>
              </w:rPr>
            </w:pPr>
          </w:p>
        </w:tc>
        <w:tc>
          <w:tcPr>
            <w:tcW w:w="1651"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647" w:type="dxa"/>
            <w:vAlign w:val="center"/>
          </w:tcPr>
          <w:p>
            <w:pPr>
              <w:jc w:val="center"/>
              <w:rPr>
                <w:rFonts w:asciiTheme="minorEastAsia" w:hAnsiTheme="minorEastAsia" w:eastAsiaTheme="minorEastAsia"/>
                <w:color w:val="auto"/>
                <w:sz w:val="24"/>
                <w:highlight w:val="none"/>
                <w:lang w:val="zh-CN"/>
              </w:rPr>
            </w:pPr>
          </w:p>
        </w:tc>
        <w:tc>
          <w:tcPr>
            <w:tcW w:w="1183" w:type="dxa"/>
            <w:vAlign w:val="center"/>
          </w:tcPr>
          <w:p>
            <w:pPr>
              <w:jc w:val="center"/>
              <w:rPr>
                <w:rFonts w:asciiTheme="minorEastAsia" w:hAnsiTheme="minorEastAsia" w:eastAsiaTheme="minorEastAsia"/>
                <w:color w:val="auto"/>
                <w:sz w:val="24"/>
                <w:highlight w:val="none"/>
                <w:lang w:val="zh-CN"/>
              </w:rPr>
            </w:pPr>
          </w:p>
        </w:tc>
      </w:tr>
    </w:tbl>
    <w:p>
      <w:pPr>
        <w:spacing w:line="360" w:lineRule="auto"/>
        <w:ind w:firstLine="437"/>
        <w:outlineLvl w:val="3"/>
        <w:rPr>
          <w:rFonts w:asciiTheme="minorEastAsia" w:hAnsiTheme="minorEastAsia" w:eastAsiaTheme="minorEastAsia"/>
          <w:b/>
          <w:bCs/>
          <w:color w:val="auto"/>
          <w:sz w:val="24"/>
          <w:highlight w:val="none"/>
          <w:lang w:val="zh-CN"/>
        </w:rPr>
      </w:pPr>
      <w:bookmarkStart w:id="96" w:name="_Toc23292"/>
      <w:bookmarkStart w:id="97" w:name="_Toc21631"/>
      <w:bookmarkStart w:id="98"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96"/>
      <w:bookmarkEnd w:id="97"/>
      <w:bookmarkEnd w:id="98"/>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成交费率</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6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vAlign w:val="center"/>
          </w:tcPr>
          <w:p>
            <w:pPr>
              <w:jc w:val="center"/>
              <w:rPr>
                <w:rFonts w:hint="eastAsia"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分项价格</w:t>
            </w:r>
            <w:r>
              <w:rPr>
                <w:rFonts w:hint="eastAsia" w:asciiTheme="minorEastAsia" w:hAnsiTheme="minorEastAsia" w:eastAsiaTheme="minorEastAsia"/>
                <w:color w:val="auto"/>
                <w:sz w:val="24"/>
                <w:highlight w:val="no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pPr>
              <w:ind w:firstLine="200"/>
              <w:jc w:val="center"/>
              <w:rPr>
                <w:rFonts w:asciiTheme="minorEastAsia" w:hAnsiTheme="minorEastAsia" w:eastAsiaTheme="minorEastAsia"/>
                <w:color w:val="auto"/>
                <w:sz w:val="24"/>
                <w:highlight w:val="none"/>
              </w:rPr>
            </w:pPr>
          </w:p>
        </w:tc>
        <w:tc>
          <w:tcPr>
            <w:tcW w:w="3368" w:type="dxa"/>
            <w:vAlign w:val="center"/>
          </w:tcPr>
          <w:p>
            <w:pPr>
              <w:ind w:firstLine="200"/>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pPr>
              <w:ind w:firstLine="200"/>
              <w:jc w:val="center"/>
              <w:rPr>
                <w:rFonts w:asciiTheme="minorEastAsia" w:hAnsiTheme="minorEastAsia" w:eastAsiaTheme="minorEastAsia"/>
                <w:color w:val="auto"/>
                <w:sz w:val="24"/>
                <w:highlight w:val="none"/>
              </w:rPr>
            </w:pPr>
          </w:p>
        </w:tc>
        <w:tc>
          <w:tcPr>
            <w:tcW w:w="3368" w:type="dxa"/>
            <w:vAlign w:val="center"/>
          </w:tcPr>
          <w:p>
            <w:pPr>
              <w:ind w:firstLine="200"/>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pPr>
              <w:ind w:firstLine="200"/>
              <w:jc w:val="center"/>
              <w:rPr>
                <w:rFonts w:asciiTheme="minorEastAsia" w:hAnsiTheme="minorEastAsia" w:eastAsiaTheme="minorEastAsia"/>
                <w:color w:val="auto"/>
                <w:sz w:val="24"/>
                <w:highlight w:val="none"/>
              </w:rPr>
            </w:pPr>
          </w:p>
        </w:tc>
        <w:tc>
          <w:tcPr>
            <w:tcW w:w="3368" w:type="dxa"/>
            <w:vAlign w:val="center"/>
          </w:tcPr>
          <w:p>
            <w:pPr>
              <w:ind w:firstLine="200"/>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pPr>
              <w:ind w:firstLine="200"/>
              <w:jc w:val="center"/>
              <w:rPr>
                <w:rFonts w:asciiTheme="minorEastAsia" w:hAnsiTheme="minorEastAsia" w:eastAsiaTheme="minorEastAsia"/>
                <w:color w:val="auto"/>
                <w:sz w:val="24"/>
                <w:highlight w:val="none"/>
              </w:rPr>
            </w:pPr>
          </w:p>
        </w:tc>
        <w:tc>
          <w:tcPr>
            <w:tcW w:w="3368" w:type="dxa"/>
            <w:vAlign w:val="center"/>
          </w:tcPr>
          <w:p>
            <w:pPr>
              <w:ind w:firstLine="200"/>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02" w:type="dxa"/>
            <w:gridSpan w:val="2"/>
            <w:vAlign w:val="center"/>
          </w:tcPr>
          <w:p>
            <w:pPr>
              <w:ind w:firstLine="20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费率</w:t>
            </w:r>
          </w:p>
        </w:tc>
        <w:tc>
          <w:tcPr>
            <w:tcW w:w="3368" w:type="dxa"/>
            <w:vAlign w:val="center"/>
          </w:tcPr>
          <w:p>
            <w:pPr>
              <w:ind w:firstLine="200"/>
              <w:jc w:val="center"/>
              <w:rPr>
                <w:rFonts w:asciiTheme="minorEastAsia" w:hAnsiTheme="minorEastAsia" w:eastAsiaTheme="minorEastAsia"/>
                <w:color w:val="auto"/>
                <w:sz w:val="24"/>
                <w:highlight w:val="none"/>
              </w:rPr>
            </w:pPr>
          </w:p>
        </w:tc>
      </w:tr>
    </w:tbl>
    <w:p>
      <w:pPr>
        <w:spacing w:line="360" w:lineRule="auto"/>
        <w:ind w:firstLine="437"/>
        <w:outlineLvl w:val="3"/>
        <w:rPr>
          <w:rFonts w:asciiTheme="minorEastAsia" w:hAnsiTheme="minorEastAsia" w:eastAsiaTheme="minorEastAsia"/>
          <w:b/>
          <w:bCs/>
          <w:color w:val="auto"/>
          <w:sz w:val="24"/>
          <w:highlight w:val="none"/>
          <w:lang w:val="zh-CN"/>
        </w:rPr>
      </w:pPr>
      <w:bookmarkStart w:id="99" w:name="_Toc10340"/>
      <w:bookmarkStart w:id="100" w:name="_Toc22618"/>
      <w:bookmarkStart w:id="101"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99"/>
      <w:bookmarkEnd w:id="100"/>
      <w:bookmarkEnd w:id="101"/>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02" w:name="_Toc2846"/>
      <w:bookmarkStart w:id="103" w:name="_Toc32071"/>
      <w:bookmarkStart w:id="104"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102"/>
      <w:bookmarkEnd w:id="103"/>
      <w:bookmarkEnd w:id="104"/>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05" w:name="_Toc21423"/>
      <w:bookmarkStart w:id="106" w:name="_Toc19554"/>
      <w:bookmarkStart w:id="107" w:name="_Toc27250"/>
      <w:r>
        <w:rPr>
          <w:rFonts w:hint="eastAsia" w:asciiTheme="minorEastAsia" w:hAnsiTheme="minorEastAsia" w:eastAsiaTheme="minorEastAsia"/>
          <w:b/>
          <w:bCs/>
          <w:color w:val="auto"/>
          <w:sz w:val="24"/>
          <w:highlight w:val="none"/>
          <w:lang w:val="zh-CN"/>
        </w:rPr>
        <w:t>1.6 违约责任</w:t>
      </w:r>
      <w:bookmarkEnd w:id="105"/>
      <w:bookmarkEnd w:id="106"/>
      <w:bookmarkEnd w:id="10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7"/>
        <w:outlineLvl w:val="3"/>
        <w:rPr>
          <w:rFonts w:asciiTheme="minorEastAsia" w:hAnsiTheme="minorEastAsia" w:eastAsiaTheme="minorEastAsia"/>
          <w:b/>
          <w:bCs/>
          <w:color w:val="auto"/>
          <w:sz w:val="24"/>
          <w:highlight w:val="none"/>
          <w:lang w:val="zh-CN"/>
        </w:rPr>
      </w:pPr>
      <w:bookmarkStart w:id="108" w:name="_Toc28375"/>
      <w:bookmarkStart w:id="109" w:name="_Toc16021"/>
      <w:bookmarkStart w:id="110"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108"/>
      <w:bookmarkEnd w:id="109"/>
      <w:bookmarkEnd w:id="110"/>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 安庆仲裁委员会 申请仲裁。②向________人民法院起诉。</w:t>
      </w:r>
    </w:p>
    <w:p>
      <w:pPr>
        <w:spacing w:line="360" w:lineRule="auto"/>
        <w:ind w:firstLine="437"/>
        <w:outlineLvl w:val="3"/>
        <w:rPr>
          <w:rFonts w:asciiTheme="minorEastAsia" w:hAnsiTheme="minorEastAsia" w:eastAsiaTheme="minorEastAsia"/>
          <w:b/>
          <w:bCs/>
          <w:color w:val="auto"/>
          <w:sz w:val="24"/>
          <w:highlight w:val="none"/>
          <w:lang w:val="zh-CN"/>
        </w:rPr>
      </w:pPr>
      <w:bookmarkStart w:id="111" w:name="_Toc15322"/>
      <w:bookmarkStart w:id="112" w:name="_Toc11173"/>
      <w:bookmarkStart w:id="113"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111"/>
      <w:bookmarkEnd w:id="112"/>
      <w:bookmarkEnd w:id="113"/>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pPr>
        <w:autoSpaceDE w:val="0"/>
        <w:autoSpaceDN w:val="0"/>
        <w:adjustRightInd w:val="0"/>
        <w:spacing w:line="560" w:lineRule="exact"/>
        <w:rPr>
          <w:rFonts w:asciiTheme="minorEastAsia" w:hAnsiTheme="minorEastAsia" w:eastAsiaTheme="minorEastAsia"/>
          <w:color w:val="auto"/>
          <w:sz w:val="24"/>
          <w:highlight w:val="none"/>
          <w:lang w:val="zh-CN"/>
        </w:rPr>
      </w:pPr>
    </w:p>
    <w:p>
      <w:pPr>
        <w:autoSpaceDE w:val="0"/>
        <w:autoSpaceDN w:val="0"/>
        <w:adjustRightInd w:val="0"/>
        <w:spacing w:line="560" w:lineRule="exact"/>
        <w:rPr>
          <w:rFonts w:asciiTheme="minorEastAsia" w:hAnsiTheme="minorEastAsia" w:eastAsiaTheme="minorEastAsia"/>
          <w:color w:val="auto"/>
          <w:sz w:val="24"/>
          <w:highlight w:val="none"/>
          <w:lang w:val="zh-CN"/>
        </w:rPr>
      </w:pPr>
    </w:p>
    <w:p>
      <w:pPr>
        <w:autoSpaceDE w:val="0"/>
        <w:autoSpaceDN w:val="0"/>
        <w:adjustRightInd w:val="0"/>
        <w:spacing w:line="560" w:lineRule="exact"/>
        <w:rPr>
          <w:rFonts w:asciiTheme="minorEastAsia" w:hAnsiTheme="minorEastAsia" w:eastAsiaTheme="minorEastAsia"/>
          <w:color w:val="auto"/>
          <w:sz w:val="24"/>
          <w:highlight w:val="none"/>
          <w:lang w:val="zh-CN"/>
        </w:rPr>
      </w:pPr>
    </w:p>
    <w:p>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pPr>
        <w:widowControl/>
        <w:spacing w:line="560" w:lineRule="exact"/>
        <w:jc w:val="left"/>
        <w:rPr>
          <w:rFonts w:hint="eastAsia" w:asciiTheme="minorEastAsia" w:hAnsiTheme="minorEastAsia" w:eastAsiaTheme="minorEastAsia"/>
          <w:bCs/>
          <w:color w:val="auto"/>
          <w:sz w:val="24"/>
          <w:highlight w:val="none"/>
        </w:rPr>
      </w:pPr>
    </w:p>
    <w:p>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pPr>
        <w:widowControl/>
        <w:spacing w:line="560" w:lineRule="exact"/>
        <w:jc w:val="left"/>
        <w:rPr>
          <w:rFonts w:asciiTheme="minorEastAsia" w:hAnsiTheme="minorEastAsia" w:eastAsiaTheme="minorEastAsia"/>
          <w:bCs/>
          <w:color w:val="auto"/>
          <w:sz w:val="24"/>
          <w:highlight w:val="none"/>
        </w:rPr>
      </w:pPr>
    </w:p>
    <w:p>
      <w:pPr>
        <w:widowControl/>
        <w:spacing w:line="560" w:lineRule="exact"/>
        <w:jc w:val="left"/>
        <w:rPr>
          <w:rFonts w:asciiTheme="minorEastAsia" w:hAnsiTheme="minorEastAsia" w:eastAsiaTheme="minorEastAsia"/>
          <w:bCs/>
          <w:color w:val="auto"/>
          <w:sz w:val="24"/>
          <w:highlight w:val="none"/>
        </w:rPr>
      </w:pPr>
    </w:p>
    <w:p>
      <w:pPr>
        <w:pStyle w:val="74"/>
        <w:rPr>
          <w:color w:val="auto"/>
          <w:highlight w:val="none"/>
        </w:rPr>
      </w:pP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88"/>
    <w:bookmarkEnd w:id="89"/>
    <w:p>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p>
    <w:p>
      <w:pPr>
        <w:spacing w:line="360" w:lineRule="auto"/>
        <w:ind w:firstLine="437"/>
        <w:outlineLvl w:val="3"/>
        <w:rPr>
          <w:rFonts w:asciiTheme="minorEastAsia" w:hAnsiTheme="minorEastAsia" w:eastAsiaTheme="minorEastAsia"/>
          <w:b/>
          <w:bCs/>
          <w:color w:val="auto"/>
          <w:sz w:val="24"/>
          <w:highlight w:val="none"/>
          <w:lang w:val="zh-CN"/>
        </w:rPr>
      </w:pPr>
      <w:bookmarkStart w:id="114" w:name="_Ref467378463"/>
      <w:bookmarkStart w:id="115" w:name="_Ref467379195"/>
      <w:bookmarkStart w:id="116" w:name="_Ref467379225"/>
      <w:bookmarkStart w:id="117" w:name="_Toc19614"/>
      <w:bookmarkStart w:id="118" w:name="_Toc487900349"/>
      <w:bookmarkStart w:id="119" w:name="_Ref467379101"/>
      <w:bookmarkStart w:id="120" w:name="_Ref467378499"/>
      <w:bookmarkStart w:id="121" w:name="_Toc259093669"/>
      <w:bookmarkStart w:id="122" w:name="_Ref467379205"/>
      <w:bookmarkStart w:id="123" w:name="_Toc16917"/>
      <w:bookmarkStart w:id="124" w:name="_Toc279701240"/>
      <w:bookmarkStart w:id="125" w:name="_Ref467379094"/>
      <w:bookmarkStart w:id="126" w:name="_Ref467379109"/>
      <w:bookmarkStart w:id="127" w:name="_Ref467378404"/>
      <w:bookmarkStart w:id="128" w:name="_Ref467379214"/>
      <w:bookmarkStart w:id="129" w:name="_Toc28763"/>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本合同中的下列</w:t>
      </w:r>
      <w:r>
        <w:rPr>
          <w:rFonts w:hint="eastAsia" w:asciiTheme="minorEastAsia" w:hAnsiTheme="minorEastAsia" w:eastAsiaTheme="minorEastAsia"/>
          <w:color w:val="auto"/>
          <w:sz w:val="24"/>
          <w:highlight w:val="none"/>
        </w:rPr>
        <w:t>词</w:t>
      </w:r>
      <w:r>
        <w:rPr>
          <w:rFonts w:asciiTheme="minorEastAsia" w:hAnsiTheme="minorEastAsia" w:eastAsiaTheme="minorEastAsia"/>
          <w:color w:val="auto"/>
          <w:sz w:val="24"/>
          <w:highlight w:val="none"/>
        </w:rPr>
        <w:t>语应</w:t>
      </w:r>
      <w:r>
        <w:rPr>
          <w:rFonts w:hint="eastAsia" w:asciiTheme="minorEastAsia" w:hAnsiTheme="minorEastAsia" w:eastAsiaTheme="minorEastAsia"/>
          <w:color w:val="auto"/>
          <w:sz w:val="24"/>
          <w:highlight w:val="none"/>
        </w:rPr>
        <w:t>按以下内容进行</w:t>
      </w:r>
      <w:r>
        <w:rPr>
          <w:rFonts w:asciiTheme="minorEastAsia" w:hAnsiTheme="minorEastAsia" w:eastAsiaTheme="minorEastAsia"/>
          <w:color w:val="auto"/>
          <w:sz w:val="24"/>
          <w:highlight w:val="none"/>
        </w:rPr>
        <w:t>解释：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“合同”系指采购人和</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人签订的载明双方当事人所达成的协议，并包括所有的附件、附录和构成合同的其他文件。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1.2“合同价”系指根据合同约定，</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人在完全履行合同义务后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采购人应支付给</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人的价格。</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1.3“货物”系指</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根据合同约定应向采购人交付的一切</w:t>
      </w:r>
      <w:r>
        <w:rPr>
          <w:rFonts w:hint="eastAsia" w:asciiTheme="minorEastAsia" w:hAnsiTheme="minorEastAsia" w:eastAsiaTheme="minorEastAsia"/>
          <w:color w:val="auto"/>
          <w:sz w:val="24"/>
          <w:highlight w:val="none"/>
        </w:rPr>
        <w:t>各种形态和种类的物品，包括原材料、燃料、设备、</w:t>
      </w:r>
      <w:r>
        <w:rPr>
          <w:rFonts w:asciiTheme="minorEastAsia" w:hAnsiTheme="minorEastAsia" w:eastAsiaTheme="minorEastAsia"/>
          <w:color w:val="auto"/>
          <w:sz w:val="24"/>
          <w:highlight w:val="none"/>
        </w:rPr>
        <w:t>机械、仪表、备件</w:t>
      </w:r>
      <w:r>
        <w:rPr>
          <w:rFonts w:hint="eastAsia" w:asciiTheme="minorEastAsia" w:hAnsiTheme="minorEastAsia" w:eastAsiaTheme="minorEastAsia"/>
          <w:color w:val="auto"/>
          <w:sz w:val="24"/>
          <w:highlight w:val="none"/>
        </w:rPr>
        <w:t>、计算机软件、产品等</w:t>
      </w:r>
      <w:r>
        <w:rPr>
          <w:rFonts w:asciiTheme="minorEastAsia" w:hAnsiTheme="minorEastAsia" w:eastAsiaTheme="minorEastAsia"/>
          <w:color w:val="auto"/>
          <w:sz w:val="24"/>
          <w:highlight w:val="none"/>
        </w:rPr>
        <w:t>，并包括工具、手册等其他相关资料。</w:t>
      </w:r>
    </w:p>
    <w:p>
      <w:pPr>
        <w:spacing w:line="360" w:lineRule="auto"/>
        <w:ind w:firstLine="435"/>
        <w:rPr>
          <w:rFonts w:asciiTheme="minorEastAsia" w:hAnsiTheme="minorEastAsia" w:eastAsiaTheme="minorEastAsia"/>
          <w:color w:val="auto"/>
          <w:sz w:val="24"/>
          <w:highlight w:val="none"/>
        </w:rPr>
      </w:pPr>
      <w:bookmarkStart w:id="130" w:name="_Ref46737884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”系指与</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签署合同的采购人</w:t>
      </w:r>
      <w:bookmarkEnd w:id="130"/>
      <w:r>
        <w:rPr>
          <w:rFonts w:hint="eastAsia" w:asciiTheme="minorEastAsia" w:hAnsiTheme="minorEastAsia" w:eastAsiaTheme="minorEastAsia"/>
          <w:color w:val="auto"/>
          <w:sz w:val="24"/>
          <w:highlight w:val="none"/>
        </w:rPr>
        <w:t>；采购人委托采购代理机构代表其与乙方签订合同的，采购人的授权委托书作为合同附件。</w:t>
      </w:r>
    </w:p>
    <w:p>
      <w:pPr>
        <w:spacing w:line="360" w:lineRule="auto"/>
        <w:ind w:firstLine="435"/>
        <w:rPr>
          <w:rFonts w:asciiTheme="minorEastAsia" w:hAnsiTheme="minorEastAsia" w:eastAsiaTheme="minorEastAsia"/>
          <w:color w:val="auto"/>
          <w:sz w:val="24"/>
          <w:highlight w:val="none"/>
        </w:rPr>
      </w:pPr>
      <w:bookmarkStart w:id="131" w:name="_Ref46737940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“乙方”系指根据合同约定交付货物的</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w:t>
      </w:r>
      <w:bookmarkEnd w:id="131"/>
      <w:r>
        <w:rPr>
          <w:rFonts w:hint="eastAsia" w:asciiTheme="minorEastAsia" w:hAnsiTheme="minorEastAsia" w:eastAsiaTheme="minorEastAsia"/>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rPr>
          <w:rFonts w:asciiTheme="minorEastAsia" w:hAnsiTheme="minorEastAsia" w:eastAsiaTheme="minorEastAsia"/>
          <w:color w:val="auto"/>
          <w:sz w:val="24"/>
          <w:highlight w:val="none"/>
        </w:rPr>
      </w:pPr>
      <w:bookmarkStart w:id="132" w:name="_Ref467379436"/>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“现场”系指合同约定货物将要运至</w:t>
      </w:r>
      <w:r>
        <w:rPr>
          <w:rFonts w:hint="eastAsia" w:asciiTheme="minorEastAsia" w:hAnsiTheme="minorEastAsia" w:eastAsiaTheme="minorEastAsia"/>
          <w:color w:val="auto"/>
          <w:sz w:val="24"/>
          <w:highlight w:val="none"/>
        </w:rPr>
        <w:t>或者</w:t>
      </w:r>
      <w:r>
        <w:rPr>
          <w:rFonts w:asciiTheme="minorEastAsia" w:hAnsiTheme="minorEastAsia" w:eastAsiaTheme="minorEastAsia"/>
          <w:color w:val="auto"/>
          <w:sz w:val="24"/>
          <w:highlight w:val="none"/>
        </w:rPr>
        <w:t>安装的地点。</w:t>
      </w:r>
      <w:bookmarkEnd w:id="132"/>
    </w:p>
    <w:p>
      <w:pPr>
        <w:spacing w:line="360" w:lineRule="auto"/>
        <w:ind w:firstLine="437"/>
        <w:outlineLvl w:val="3"/>
        <w:rPr>
          <w:rFonts w:asciiTheme="minorEastAsia" w:hAnsiTheme="minorEastAsia" w:eastAsiaTheme="minorEastAsia"/>
          <w:b/>
          <w:bCs/>
          <w:color w:val="auto"/>
          <w:sz w:val="24"/>
          <w:highlight w:val="none"/>
          <w:lang w:val="zh-CN"/>
        </w:rPr>
      </w:pPr>
      <w:bookmarkStart w:id="133" w:name="_Toc259093670"/>
      <w:bookmarkStart w:id="134" w:name="_Toc487900350"/>
      <w:bookmarkStart w:id="135" w:name="_Toc32504"/>
      <w:bookmarkStart w:id="136" w:name="_Toc279701241"/>
      <w:bookmarkStart w:id="137" w:name="_Toc27635"/>
      <w:bookmarkStart w:id="138" w:name="_Toc13336"/>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133"/>
      <w:bookmarkEnd w:id="134"/>
      <w:bookmarkEnd w:id="135"/>
      <w:bookmarkEnd w:id="136"/>
      <w:bookmarkEnd w:id="137"/>
      <w:bookmarkEnd w:id="138"/>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如果采购文件中没有技术规范的相应说明，那么应以国家有关部门最新颁布的相应标准</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规范为准。</w:t>
      </w:r>
    </w:p>
    <w:p>
      <w:pPr>
        <w:spacing w:line="360" w:lineRule="auto"/>
        <w:ind w:firstLine="437"/>
        <w:outlineLvl w:val="3"/>
        <w:rPr>
          <w:rFonts w:asciiTheme="minorEastAsia" w:hAnsiTheme="minorEastAsia" w:eastAsiaTheme="minorEastAsia"/>
          <w:b/>
          <w:bCs/>
          <w:color w:val="auto"/>
          <w:sz w:val="24"/>
          <w:highlight w:val="none"/>
          <w:lang w:val="zh-CN"/>
        </w:rPr>
      </w:pPr>
      <w:bookmarkStart w:id="139" w:name="_Toc487900351"/>
      <w:bookmarkStart w:id="140" w:name="_Toc259093671"/>
      <w:bookmarkStart w:id="141" w:name="_Toc27853"/>
      <w:bookmarkStart w:id="142" w:name="_Toc279701242"/>
      <w:bookmarkStart w:id="143" w:name="_Toc31634"/>
      <w:bookmarkStart w:id="144" w:name="_Toc982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139"/>
      <w:bookmarkEnd w:id="140"/>
      <w:bookmarkEnd w:id="141"/>
      <w:bookmarkEnd w:id="142"/>
      <w:bookmarkEnd w:id="143"/>
      <w:bookmarkEnd w:id="144"/>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w:t>
      </w:r>
      <w:r>
        <w:rPr>
          <w:rFonts w:asciiTheme="minorEastAsia" w:hAnsiTheme="minorEastAsia" w:eastAsiaTheme="minorEastAsia"/>
          <w:color w:val="auto"/>
          <w:sz w:val="24"/>
          <w:highlight w:val="none"/>
        </w:rPr>
        <w:t>方应保证甲方在使用该货物或其任何一部分时不受任何第三方提出的侵犯其著作权、商标权、专利权等知识产权方面的起诉</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如果任何第三方提出侵权</w:t>
      </w:r>
      <w:r>
        <w:rPr>
          <w:rFonts w:hint="eastAsia" w:asciiTheme="minorEastAsia" w:hAnsiTheme="minorEastAsia" w:eastAsiaTheme="minorEastAsia"/>
          <w:color w:val="auto"/>
          <w:sz w:val="24"/>
          <w:highlight w:val="none"/>
        </w:rPr>
        <w:t>指控</w:t>
      </w:r>
      <w:r>
        <w:rPr>
          <w:rFonts w:asciiTheme="minorEastAsia" w:hAnsiTheme="minorEastAsia" w:eastAsiaTheme="minorEastAsia"/>
          <w:color w:val="auto"/>
          <w:sz w:val="24"/>
          <w:highlight w:val="none"/>
        </w:rPr>
        <w:t>，那么乙方须与该第三方交涉并承担由此发生的一切责任、费用和赔偿</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w:t>
      </w: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color w:val="auto"/>
          <w:sz w:val="24"/>
          <w:highlight w:val="none"/>
        </w:rPr>
      </w:pPr>
      <w:bookmarkStart w:id="145" w:name="_Toc29149"/>
      <w:bookmarkStart w:id="146" w:name="_Toc11932"/>
      <w:bookmarkStart w:id="147" w:name="_Toc4194"/>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包装和装运</w:t>
      </w:r>
      <w:bookmarkEnd w:id="145"/>
      <w:bookmarkEnd w:id="146"/>
      <w:bookmarkEnd w:id="14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2.4.1除</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2.4.2装运货物的要求和通知，详见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48" w:name="_Ref467379527"/>
      <w:bookmarkStart w:id="149" w:name="_Ref467378591"/>
      <w:bookmarkStart w:id="150" w:name="_Ref467379536"/>
      <w:bookmarkStart w:id="151" w:name="_Ref467379542"/>
      <w:bookmarkStart w:id="152" w:name="_Toc487900354"/>
      <w:bookmarkStart w:id="153" w:name="_Ref467378541"/>
      <w:bookmarkStart w:id="154" w:name="_Toc279701245"/>
      <w:bookmarkStart w:id="155" w:name="_Toc259093674"/>
      <w:bookmarkStart w:id="156" w:name="_Toc26182"/>
      <w:bookmarkStart w:id="157" w:name="_Toc19074"/>
      <w:bookmarkStart w:id="158" w:name="_Toc30272"/>
      <w:r>
        <w:rPr>
          <w:rFonts w:hint="eastAsia" w:asciiTheme="minorEastAsia" w:hAnsiTheme="minorEastAsia" w:eastAsiaTheme="minorEastAsia"/>
          <w:b/>
          <w:bCs/>
          <w:color w:val="auto"/>
          <w:sz w:val="24"/>
          <w:highlight w:val="none"/>
          <w:lang w:val="zh-CN"/>
        </w:rPr>
        <w:t>2.</w:t>
      </w:r>
      <w:bookmarkEnd w:id="148"/>
      <w:bookmarkEnd w:id="149"/>
      <w:bookmarkEnd w:id="150"/>
      <w:bookmarkEnd w:id="151"/>
      <w:bookmarkEnd w:id="152"/>
      <w:bookmarkEnd w:id="153"/>
      <w:bookmarkEnd w:id="154"/>
      <w:bookmarkEnd w:id="155"/>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履约检查和问题反馈</w:t>
      </w:r>
      <w:bookmarkEnd w:id="156"/>
      <w:bookmarkEnd w:id="157"/>
      <w:bookmarkEnd w:id="158"/>
    </w:p>
    <w:p>
      <w:pPr>
        <w:spacing w:line="360" w:lineRule="auto"/>
        <w:ind w:firstLine="435"/>
        <w:rPr>
          <w:rFonts w:asciiTheme="minorEastAsia" w:hAnsiTheme="minorEastAsia" w:eastAsiaTheme="minorEastAsia"/>
          <w:color w:val="auto"/>
          <w:sz w:val="24"/>
          <w:highlight w:val="none"/>
        </w:rPr>
      </w:pPr>
      <w:bookmarkStart w:id="159" w:name="_Ref467379657"/>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bookmarkEnd w:id="159"/>
      <w:bookmarkStart w:id="160" w:name="_Toc186431854"/>
      <w:bookmarkStart w:id="161" w:name="_Toc259093676"/>
      <w:bookmarkStart w:id="162" w:name="_Toc487900357"/>
      <w:bookmarkStart w:id="163" w:name="_Toc279701247"/>
      <w:bookmarkStart w:id="164" w:name="_Ref467379793"/>
      <w:bookmarkStart w:id="165" w:name="_Ref467379807"/>
      <w:r>
        <w:rPr>
          <w:rFonts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rPr>
        <w:t>有权</w:t>
      </w:r>
      <w:r>
        <w:rPr>
          <w:rFonts w:asciiTheme="minorEastAsia" w:hAnsiTheme="minorEastAsia" w:eastAsiaTheme="minorEastAsia"/>
          <w:color w:val="auto"/>
          <w:sz w:val="24"/>
          <w:highlight w:val="none"/>
        </w:rPr>
        <w:t>在其认为必要时</w:t>
      </w:r>
      <w:r>
        <w:rPr>
          <w:rFonts w:hint="eastAsia" w:asciiTheme="minorEastAsia" w:hAnsiTheme="minorEastAsia" w:eastAsiaTheme="minorEastAsia"/>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2.5.2合同履行期间，甲方有权将履行过程中出现的问题反馈给乙方，双方当事人应以书面形式约定需要完善和改进的内容</w:t>
      </w:r>
      <w:bookmarkEnd w:id="160"/>
      <w:bookmarkStart w:id="166" w:name="_Toc186431855"/>
      <w:r>
        <w:rPr>
          <w:rFonts w:hint="eastAsia" w:asciiTheme="minorEastAsia" w:hAnsiTheme="minorEastAsia" w:eastAsiaTheme="minorEastAsia"/>
          <w:color w:val="auto"/>
          <w:sz w:val="24"/>
          <w:highlight w:val="none"/>
        </w:rPr>
        <w:t>。</w:t>
      </w:r>
    </w:p>
    <w:bookmarkEnd w:id="166"/>
    <w:p>
      <w:pPr>
        <w:spacing w:line="360" w:lineRule="auto"/>
        <w:ind w:firstLine="437"/>
        <w:outlineLvl w:val="3"/>
        <w:rPr>
          <w:rFonts w:asciiTheme="minorEastAsia" w:hAnsiTheme="minorEastAsia" w:eastAsiaTheme="minorEastAsia"/>
          <w:b/>
          <w:bCs/>
          <w:color w:val="auto"/>
          <w:sz w:val="24"/>
          <w:highlight w:val="none"/>
          <w:lang w:val="zh-CN"/>
        </w:rPr>
      </w:pPr>
      <w:bookmarkStart w:id="167" w:name="_Toc7836"/>
      <w:bookmarkStart w:id="168" w:name="_Toc28451"/>
      <w:bookmarkStart w:id="169" w:name="_Toc19219"/>
      <w:r>
        <w:rPr>
          <w:rFonts w:hint="eastAsia" w:asciiTheme="minorEastAsia" w:hAnsiTheme="minorEastAsia" w:eastAsiaTheme="minorEastAsia"/>
          <w:b/>
          <w:bCs/>
          <w:color w:val="auto"/>
          <w:sz w:val="24"/>
          <w:highlight w:val="none"/>
          <w:lang w:val="zh-CN"/>
        </w:rPr>
        <w:t xml:space="preserve">2.6 </w:t>
      </w:r>
      <w:r>
        <w:rPr>
          <w:rFonts w:asciiTheme="minorEastAsia" w:hAnsiTheme="minorEastAsia" w:eastAsiaTheme="minorEastAsia"/>
          <w:b/>
          <w:bCs/>
          <w:color w:val="auto"/>
          <w:sz w:val="24"/>
          <w:highlight w:val="none"/>
          <w:lang w:val="zh-CN"/>
        </w:rPr>
        <w:t>结算方式和付款条件</w:t>
      </w:r>
      <w:bookmarkEnd w:id="161"/>
      <w:bookmarkEnd w:id="162"/>
      <w:bookmarkEnd w:id="163"/>
      <w:bookmarkEnd w:id="164"/>
      <w:bookmarkEnd w:id="165"/>
      <w:bookmarkEnd w:id="167"/>
      <w:bookmarkEnd w:id="168"/>
      <w:bookmarkEnd w:id="169"/>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70" w:name="_Ref467379852"/>
      <w:bookmarkStart w:id="171" w:name="_Toc487900358"/>
      <w:bookmarkStart w:id="172" w:name="_Toc259093677"/>
      <w:bookmarkStart w:id="173" w:name="_Toc279701248"/>
      <w:bookmarkStart w:id="174" w:name="_Ref467379863"/>
      <w:bookmarkStart w:id="175" w:name="_Ref467379923"/>
      <w:bookmarkStart w:id="176" w:name="_Toc774"/>
      <w:bookmarkStart w:id="177" w:name="_Toc3225"/>
      <w:bookmarkStart w:id="178" w:name="_Toc16110"/>
      <w:r>
        <w:rPr>
          <w:rFonts w:hint="eastAsia" w:asciiTheme="minorEastAsia" w:hAnsiTheme="minorEastAsia" w:eastAsiaTheme="minorEastAsia"/>
          <w:b/>
          <w:bCs/>
          <w:color w:val="auto"/>
          <w:sz w:val="24"/>
          <w:highlight w:val="none"/>
          <w:lang w:val="zh-CN"/>
        </w:rPr>
        <w:t xml:space="preserve">2.7 </w:t>
      </w:r>
      <w:r>
        <w:rPr>
          <w:rFonts w:asciiTheme="minorEastAsia" w:hAnsiTheme="minorEastAsia" w:eastAsiaTheme="minorEastAsia"/>
          <w:b/>
          <w:bCs/>
          <w:color w:val="auto"/>
          <w:sz w:val="24"/>
          <w:highlight w:val="none"/>
          <w:lang w:val="zh-CN"/>
        </w:rPr>
        <w:t>技术资料</w:t>
      </w:r>
      <w:bookmarkEnd w:id="170"/>
      <w:bookmarkEnd w:id="171"/>
      <w:bookmarkEnd w:id="172"/>
      <w:bookmarkEnd w:id="173"/>
      <w:bookmarkEnd w:id="174"/>
      <w:bookmarkEnd w:id="175"/>
      <w:r>
        <w:rPr>
          <w:rFonts w:asciiTheme="minorEastAsia" w:hAnsiTheme="minorEastAsia" w:eastAsiaTheme="minorEastAsia"/>
          <w:b/>
          <w:bCs/>
          <w:color w:val="auto"/>
          <w:sz w:val="24"/>
          <w:highlight w:val="none"/>
          <w:lang w:val="zh-CN"/>
        </w:rPr>
        <w:t>和保密义务</w:t>
      </w:r>
      <w:bookmarkEnd w:id="176"/>
      <w:bookmarkEnd w:id="177"/>
      <w:bookmarkEnd w:id="178"/>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乙方有权依据合同约定和项目需要，向甲方了解有关情况，调阅有关资料等，甲方应予积极配合；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2.7.2乙方有义务妥善保管和保护由甲方提供的前款信息和资料等；</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auto"/>
          <w:sz w:val="24"/>
          <w:highlight w:val="none"/>
        </w:rPr>
        <w:t>技术情报</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技术资料</w:t>
      </w:r>
      <w:r>
        <w:rPr>
          <w:rFonts w:hint="eastAsia" w:asciiTheme="minorEastAsia" w:hAnsiTheme="minorEastAsia" w:eastAsiaTheme="minorEastAsia"/>
          <w:color w:val="auto"/>
          <w:sz w:val="24"/>
          <w:highlight w:val="none"/>
        </w:rPr>
        <w:t>、商业秘密和商业信息等，并采取一切合理和必要措施和方式防止任何第三方接触到对方当事人的上述保密信息和资料。</w:t>
      </w:r>
    </w:p>
    <w:p>
      <w:pPr>
        <w:spacing w:line="360" w:lineRule="auto"/>
        <w:ind w:firstLine="437"/>
        <w:outlineLvl w:val="3"/>
        <w:rPr>
          <w:rFonts w:asciiTheme="minorEastAsia" w:hAnsiTheme="minorEastAsia" w:eastAsiaTheme="minorEastAsia"/>
          <w:b/>
          <w:bCs/>
          <w:color w:val="auto"/>
          <w:sz w:val="24"/>
          <w:highlight w:val="none"/>
          <w:lang w:val="zh-CN"/>
        </w:rPr>
      </w:pPr>
      <w:bookmarkStart w:id="179" w:name="_Toc7860"/>
      <w:r>
        <w:rPr>
          <w:rFonts w:asciiTheme="minorEastAsia" w:hAnsiTheme="minorEastAsia" w:eastAsiaTheme="minorEastAsia"/>
          <w:b/>
          <w:bCs/>
          <w:color w:val="auto"/>
          <w:sz w:val="24"/>
          <w:highlight w:val="none"/>
          <w:lang w:val="zh-CN"/>
        </w:rPr>
        <w:t>2.8 质量保证</w:t>
      </w:r>
      <w:bookmarkEnd w:id="179"/>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2.8.1乙方应建立和完善履行合同的内部质量保证体系，并提供相关内部规章制度给甲方，以便甲方进行监督检查；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Theme="minorEastAsia" w:hAnsiTheme="minorEastAsia" w:eastAsiaTheme="minorEastAsia"/>
          <w:b/>
          <w:bCs/>
          <w:color w:val="auto"/>
          <w:sz w:val="24"/>
          <w:highlight w:val="none"/>
          <w:lang w:val="zh-CN"/>
        </w:rPr>
      </w:pPr>
      <w:bookmarkStart w:id="180" w:name="_Toc17244"/>
      <w:bookmarkStart w:id="181" w:name="_Toc279701252"/>
      <w:bookmarkStart w:id="182" w:name="_Toc259093681"/>
      <w:bookmarkStart w:id="183" w:name="_Toc487900362"/>
      <w:r>
        <w:rPr>
          <w:rFonts w:asciiTheme="minorEastAsia" w:hAnsiTheme="minorEastAsia" w:eastAsiaTheme="minorEastAsia"/>
          <w:b/>
          <w:bCs/>
          <w:color w:val="auto"/>
          <w:sz w:val="24"/>
          <w:highlight w:val="none"/>
          <w:lang w:val="zh-CN"/>
        </w:rPr>
        <w:t>2.9 货物的风险负担</w:t>
      </w:r>
      <w:bookmarkEnd w:id="180"/>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货物或者在途货物或者交付给第一承运人后的货物毁损、灭失的风险负担</w:t>
      </w: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84" w:name="_Toc14055"/>
      <w:r>
        <w:rPr>
          <w:rFonts w:asciiTheme="minorEastAsia" w:hAnsiTheme="minorEastAsia" w:eastAsiaTheme="minorEastAsia"/>
          <w:b/>
          <w:bCs/>
          <w:color w:val="auto"/>
          <w:sz w:val="24"/>
          <w:highlight w:val="none"/>
          <w:lang w:val="zh-CN"/>
        </w:rPr>
        <w:t>2.10 延迟交货</w:t>
      </w:r>
      <w:bookmarkEnd w:id="181"/>
      <w:bookmarkEnd w:id="182"/>
      <w:bookmarkEnd w:id="183"/>
      <w:bookmarkEnd w:id="184"/>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在合同履行过程中，如果乙方遇到不能按时交付货物的情况，应及时以书面形式将不能按时</w:t>
      </w:r>
      <w:r>
        <w:rPr>
          <w:rFonts w:hint="eastAsia" w:asciiTheme="minorEastAsia" w:hAnsiTheme="minorEastAsia" w:eastAsiaTheme="minorEastAsia"/>
          <w:color w:val="auto"/>
          <w:sz w:val="24"/>
          <w:highlight w:val="none"/>
        </w:rPr>
        <w:t>交付货物</w:t>
      </w:r>
      <w:r>
        <w:rPr>
          <w:rFonts w:asciiTheme="minorEastAsia" w:hAnsiTheme="minorEastAsia" w:eastAsiaTheme="minorEastAsia"/>
          <w:color w:val="auto"/>
          <w:sz w:val="24"/>
          <w:highlight w:val="none"/>
        </w:rPr>
        <w:t>的理由、预期延误时间通知甲方</w:t>
      </w:r>
      <w:r>
        <w:rPr>
          <w:rFonts w:hint="eastAsia" w:asciiTheme="minorEastAsia" w:hAnsiTheme="minorEastAsia" w:eastAsiaTheme="minorEastAsia"/>
          <w:color w:val="auto"/>
          <w:sz w:val="24"/>
          <w:highlight w:val="none"/>
        </w:rPr>
        <w:t>；甲</w:t>
      </w:r>
      <w:r>
        <w:rPr>
          <w:rFonts w:asciiTheme="minorEastAsia" w:hAnsiTheme="minorEastAsia" w:eastAsiaTheme="minorEastAsia"/>
          <w:color w:val="auto"/>
          <w:sz w:val="24"/>
          <w:highlight w:val="none"/>
        </w:rPr>
        <w:t>方收到乙方通知后，认为其理由正当的，可以书面形式酌情同意乙方可以延长交货的具体时间。</w:t>
      </w:r>
    </w:p>
    <w:p>
      <w:pPr>
        <w:spacing w:line="360" w:lineRule="auto"/>
        <w:ind w:firstLine="437"/>
        <w:outlineLvl w:val="3"/>
        <w:rPr>
          <w:rFonts w:asciiTheme="minorEastAsia" w:hAnsiTheme="minorEastAsia" w:eastAsiaTheme="minorEastAsia"/>
          <w:b/>
          <w:bCs/>
          <w:color w:val="auto"/>
          <w:sz w:val="24"/>
          <w:highlight w:val="none"/>
          <w:lang w:val="zh-CN"/>
        </w:rPr>
      </w:pPr>
      <w:bookmarkStart w:id="185" w:name="_Toc7502"/>
      <w:bookmarkStart w:id="186" w:name="_Toc487900364"/>
      <w:bookmarkStart w:id="187" w:name="_Toc279701254"/>
      <w:bookmarkStart w:id="188" w:name="_Toc259093683"/>
      <w:bookmarkStart w:id="189" w:name="_Ref467378121"/>
      <w:r>
        <w:rPr>
          <w:rFonts w:asciiTheme="minorEastAsia" w:hAnsiTheme="minorEastAsia" w:eastAsiaTheme="minorEastAsia"/>
          <w:b/>
          <w:bCs/>
          <w:color w:val="auto"/>
          <w:sz w:val="24"/>
          <w:highlight w:val="none"/>
          <w:lang w:val="zh-CN"/>
        </w:rPr>
        <w:t>2.11 合同变更</w:t>
      </w:r>
      <w:bookmarkEnd w:id="185"/>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2.11.1双方当事人协商一致，可以签订书面补充合同的形式变更合同，但不得违背采购文件确定的事项；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90" w:name="_Toc279701259"/>
      <w:bookmarkStart w:id="191" w:name="_Toc487900369"/>
      <w:bookmarkStart w:id="192" w:name="_Toc259093688"/>
    </w:p>
    <w:p>
      <w:pPr>
        <w:spacing w:line="360" w:lineRule="auto"/>
        <w:ind w:firstLine="437"/>
        <w:outlineLvl w:val="3"/>
        <w:rPr>
          <w:rFonts w:asciiTheme="minorEastAsia" w:hAnsiTheme="minorEastAsia" w:eastAsiaTheme="minorEastAsia"/>
          <w:b/>
          <w:bCs/>
          <w:color w:val="auto"/>
          <w:sz w:val="24"/>
          <w:highlight w:val="none"/>
          <w:lang w:val="zh-CN"/>
        </w:rPr>
      </w:pPr>
      <w:bookmarkStart w:id="193" w:name="_Toc10366"/>
      <w:bookmarkStart w:id="194" w:name="_Toc22955"/>
      <w:bookmarkStart w:id="195" w:name="_Toc15237"/>
      <w:r>
        <w:rPr>
          <w:rFonts w:hint="eastAsia" w:asciiTheme="minorEastAsia" w:hAnsiTheme="minorEastAsia" w:eastAsiaTheme="minorEastAsia"/>
          <w:b/>
          <w:bCs/>
          <w:color w:val="auto"/>
          <w:sz w:val="24"/>
          <w:highlight w:val="none"/>
          <w:lang w:val="zh-CN"/>
        </w:rPr>
        <w:t xml:space="preserve">2.12 </w:t>
      </w:r>
      <w:r>
        <w:rPr>
          <w:rFonts w:asciiTheme="minorEastAsia" w:hAnsiTheme="minorEastAsia" w:eastAsiaTheme="minorEastAsia"/>
          <w:b/>
          <w:bCs/>
          <w:color w:val="auto"/>
          <w:sz w:val="24"/>
          <w:highlight w:val="none"/>
          <w:lang w:val="zh-CN"/>
        </w:rPr>
        <w:t>合同转让</w:t>
      </w:r>
      <w:bookmarkEnd w:id="190"/>
      <w:bookmarkEnd w:id="191"/>
      <w:bookmarkEnd w:id="192"/>
      <w:r>
        <w:rPr>
          <w:rFonts w:asciiTheme="minorEastAsia" w:hAnsiTheme="minorEastAsia" w:eastAsiaTheme="minorEastAsia"/>
          <w:b/>
          <w:bCs/>
          <w:color w:val="auto"/>
          <w:sz w:val="24"/>
          <w:highlight w:val="none"/>
          <w:lang w:val="zh-CN"/>
        </w:rPr>
        <w:t>和分包</w:t>
      </w:r>
      <w:bookmarkEnd w:id="193"/>
      <w:bookmarkEnd w:id="194"/>
      <w:bookmarkEnd w:id="195"/>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合同的权利义务依法不</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转让</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但经甲方</w:t>
      </w:r>
      <w:r>
        <w:rPr>
          <w:rFonts w:hint="eastAsia" w:asciiTheme="minorEastAsia" w:hAnsiTheme="minorEastAsia" w:eastAsiaTheme="minorEastAsia"/>
          <w:color w:val="auto"/>
          <w:sz w:val="24"/>
          <w:highlight w:val="none"/>
        </w:rPr>
        <w:t>同意，乙方可以依法采取分包方式履行合同，即：依法可以</w:t>
      </w:r>
      <w:r>
        <w:rPr>
          <w:rFonts w:asciiTheme="minorEastAsia" w:hAnsiTheme="minorEastAsia" w:eastAsiaTheme="minorEastAsia"/>
          <w:color w:val="auto"/>
          <w:sz w:val="24"/>
          <w:highlight w:val="none"/>
        </w:rPr>
        <w:t>将合同项下的部分非主体、非关键性工作分包给他人完成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接受分包的人应当具备相应的资格条件，并不得再次分包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且乙方应就分包项目向甲方负责</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并</w:t>
      </w:r>
      <w:r>
        <w:rPr>
          <w:rFonts w:hint="eastAsia" w:asciiTheme="minorEastAsia" w:hAnsiTheme="minorEastAsia" w:eastAsiaTheme="minorEastAsia"/>
          <w:color w:val="auto"/>
          <w:sz w:val="24"/>
          <w:highlight w:val="none"/>
        </w:rPr>
        <w:t>与分包供应商就分包项目向甲方承担连带责任。</w:t>
      </w:r>
    </w:p>
    <w:p>
      <w:pPr>
        <w:spacing w:line="360" w:lineRule="auto"/>
        <w:ind w:firstLine="437"/>
        <w:outlineLvl w:val="3"/>
        <w:rPr>
          <w:rFonts w:asciiTheme="minorEastAsia" w:hAnsiTheme="minorEastAsia" w:eastAsiaTheme="minorEastAsia"/>
          <w:b/>
          <w:bCs/>
          <w:color w:val="auto"/>
          <w:sz w:val="24"/>
          <w:highlight w:val="none"/>
          <w:lang w:val="zh-CN"/>
        </w:rPr>
      </w:pPr>
      <w:bookmarkStart w:id="196" w:name="_Toc14066"/>
      <w:bookmarkStart w:id="197" w:name="_Toc13566"/>
      <w:bookmarkStart w:id="198" w:name="_Toc16508"/>
      <w:r>
        <w:rPr>
          <w:rFonts w:hint="eastAsia" w:asciiTheme="minorEastAsia" w:hAnsiTheme="minorEastAsia" w:eastAsiaTheme="minorEastAsia"/>
          <w:b/>
          <w:bCs/>
          <w:color w:val="auto"/>
          <w:sz w:val="24"/>
          <w:highlight w:val="none"/>
          <w:lang w:val="zh-CN"/>
        </w:rPr>
        <w:t>2.13</w:t>
      </w:r>
      <w:r>
        <w:rPr>
          <w:rFonts w:asciiTheme="minorEastAsia" w:hAnsiTheme="minorEastAsia" w:eastAsiaTheme="minorEastAsia"/>
          <w:b/>
          <w:bCs/>
          <w:color w:val="auto"/>
          <w:sz w:val="24"/>
          <w:highlight w:val="none"/>
          <w:lang w:val="zh-CN"/>
        </w:rPr>
        <w:t xml:space="preserve"> 不可抗力</w:t>
      </w:r>
      <w:bookmarkEnd w:id="196"/>
      <w:bookmarkEnd w:id="197"/>
      <w:bookmarkEnd w:id="198"/>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w:t>
      </w:r>
      <w:r>
        <w:rPr>
          <w:rFonts w:asciiTheme="minorEastAsia" w:hAnsiTheme="minorEastAsia" w:eastAsiaTheme="minorEastAsia"/>
          <w:color w:val="auto"/>
          <w:sz w:val="24"/>
          <w:highlight w:val="none"/>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2.13.2因不可抗力致使不能实现合同目的的，当事人可以解除合同；</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199" w:name="_Toc259093684"/>
      <w:bookmarkStart w:id="200" w:name="_Toc6969"/>
      <w:bookmarkStart w:id="201" w:name="_Toc30676"/>
      <w:bookmarkStart w:id="202" w:name="_Toc689"/>
      <w:bookmarkStart w:id="203" w:name="_Toc487900365"/>
      <w:bookmarkStart w:id="204" w:name="_Toc279701255"/>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4 </w:t>
      </w:r>
      <w:r>
        <w:rPr>
          <w:rFonts w:asciiTheme="minorEastAsia" w:hAnsiTheme="minorEastAsia" w:eastAsiaTheme="minorEastAsia"/>
          <w:b/>
          <w:bCs/>
          <w:color w:val="auto"/>
          <w:sz w:val="24"/>
          <w:highlight w:val="none"/>
          <w:lang w:val="zh-CN"/>
        </w:rPr>
        <w:t>税费</w:t>
      </w:r>
      <w:bookmarkEnd w:id="199"/>
      <w:bookmarkEnd w:id="200"/>
      <w:bookmarkEnd w:id="201"/>
      <w:bookmarkEnd w:id="202"/>
      <w:bookmarkEnd w:id="203"/>
      <w:bookmarkEnd w:id="204"/>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与合同有关的一切税费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均按照中华人民共和国法律的相关规定</w:t>
      </w:r>
      <w:r>
        <w:rPr>
          <w:rFonts w:hint="eastAsia" w:asciiTheme="minorEastAsia" w:hAnsiTheme="minorEastAsia" w:eastAsiaTheme="minorEastAsia"/>
          <w:color w:val="auto"/>
          <w:sz w:val="24"/>
          <w:highlight w:val="none"/>
        </w:rPr>
        <w:t>缴纳</w:t>
      </w:r>
      <w:r>
        <w:rPr>
          <w:rFonts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bCs/>
          <w:color w:val="auto"/>
          <w:sz w:val="24"/>
          <w:highlight w:val="none"/>
          <w:lang w:val="zh-CN"/>
        </w:rPr>
      </w:pPr>
      <w:bookmarkStart w:id="205" w:name="_Toc7102"/>
      <w:bookmarkStart w:id="206" w:name="_Toc8298"/>
      <w:bookmarkStart w:id="207" w:name="_Toc259093687"/>
      <w:bookmarkStart w:id="208" w:name="_Toc279701258"/>
      <w:bookmarkStart w:id="209" w:name="_Toc487900368"/>
      <w:bookmarkStart w:id="210" w:name="_Toc1695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5 </w:t>
      </w:r>
      <w:r>
        <w:rPr>
          <w:rFonts w:asciiTheme="minorEastAsia" w:hAnsiTheme="minorEastAsia" w:eastAsiaTheme="minorEastAsia"/>
          <w:b/>
          <w:bCs/>
          <w:color w:val="auto"/>
          <w:sz w:val="24"/>
          <w:highlight w:val="none"/>
          <w:lang w:val="zh-CN"/>
        </w:rPr>
        <w:t>乙方破产</w:t>
      </w:r>
      <w:bookmarkEnd w:id="205"/>
      <w:bookmarkEnd w:id="206"/>
      <w:bookmarkEnd w:id="207"/>
      <w:bookmarkEnd w:id="208"/>
      <w:bookmarkEnd w:id="209"/>
      <w:bookmarkEnd w:id="210"/>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如果乙方破产导致合同无法履行时，甲方可以书面形式通知乙方终止合同且不给予乙方任何补偿和赔偿</w:t>
      </w:r>
      <w:r>
        <w:rPr>
          <w:rFonts w:hint="eastAsia" w:asciiTheme="minorEastAsia" w:hAnsiTheme="minorEastAsia" w:eastAsiaTheme="minorEastAsia"/>
          <w:color w:val="auto"/>
          <w:sz w:val="24"/>
          <w:highlight w:val="none"/>
        </w:rPr>
        <w:t>，但合同的</w:t>
      </w:r>
      <w:r>
        <w:rPr>
          <w:rFonts w:asciiTheme="minorEastAsia" w:hAnsiTheme="minorEastAsia" w:eastAsiaTheme="minorEastAsia"/>
          <w:color w:val="auto"/>
          <w:sz w:val="24"/>
          <w:highlight w:val="none"/>
        </w:rPr>
        <w:t>终止不损害或不影响甲方已经采取或将要采取的任何要求乙方支付违约金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赔偿损失等的行动或补救措施的权利</w:t>
      </w:r>
      <w:r>
        <w:rPr>
          <w:rFonts w:hint="eastAsia" w:asciiTheme="minorEastAsia" w:hAnsiTheme="minorEastAsia" w:eastAsiaTheme="minorEastAsia"/>
          <w:color w:val="auto"/>
          <w:sz w:val="24"/>
          <w:highlight w:val="none"/>
        </w:rPr>
        <w:t>。</w:t>
      </w:r>
    </w:p>
    <w:p>
      <w:pPr>
        <w:spacing w:line="360" w:lineRule="auto"/>
        <w:ind w:firstLine="437"/>
        <w:outlineLvl w:val="3"/>
        <w:rPr>
          <w:rFonts w:asciiTheme="minorEastAsia" w:hAnsiTheme="minorEastAsia" w:eastAsiaTheme="minorEastAsia"/>
          <w:b/>
          <w:color w:val="auto"/>
          <w:sz w:val="24"/>
          <w:highlight w:val="none"/>
        </w:rPr>
      </w:pPr>
      <w:bookmarkStart w:id="211" w:name="_Toc15387"/>
      <w:bookmarkStart w:id="212" w:name="_Toc29333"/>
      <w:bookmarkStart w:id="213" w:name="_Toc6134"/>
      <w:r>
        <w:rPr>
          <w:rFonts w:hint="eastAsia" w:asciiTheme="minorEastAsia" w:hAnsiTheme="minorEastAsia" w:eastAsiaTheme="minorEastAsia"/>
          <w:b/>
          <w:bCs/>
          <w:color w:val="auto"/>
          <w:sz w:val="24"/>
          <w:highlight w:val="none"/>
          <w:lang w:val="zh-CN"/>
        </w:rPr>
        <w:t>2.16 合同中止、终止</w:t>
      </w:r>
      <w:bookmarkEnd w:id="211"/>
      <w:bookmarkEnd w:id="212"/>
      <w:bookmarkEnd w:id="213"/>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2.16.1双方当事人不得擅自中止或者终止合同；</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Theme="minorEastAsia" w:hAnsiTheme="minorEastAsia" w:eastAsiaTheme="minorEastAsia"/>
          <w:b/>
          <w:bCs/>
          <w:color w:val="auto"/>
          <w:sz w:val="24"/>
          <w:highlight w:val="none"/>
          <w:lang w:val="zh-CN"/>
        </w:rPr>
      </w:pPr>
      <w:bookmarkStart w:id="214" w:name="_Toc6596"/>
      <w:bookmarkStart w:id="215" w:name="_Toc14563"/>
      <w:bookmarkStart w:id="216" w:name="_Toc1125"/>
      <w:r>
        <w:rPr>
          <w:rFonts w:hint="eastAsia" w:asciiTheme="minorEastAsia" w:hAnsiTheme="minorEastAsia" w:eastAsiaTheme="minorEastAsia"/>
          <w:b/>
          <w:bCs/>
          <w:color w:val="auto"/>
          <w:sz w:val="24"/>
          <w:highlight w:val="none"/>
          <w:lang w:val="zh-CN"/>
        </w:rPr>
        <w:t>2.17 检验和验收</w:t>
      </w:r>
      <w:bookmarkEnd w:id="214"/>
      <w:bookmarkEnd w:id="215"/>
      <w:bookmarkEnd w:id="21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约定时间内组织验收，并可依法邀请相关方参加，验收应出具验收书。</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86"/>
    <w:bookmarkEnd w:id="187"/>
    <w:bookmarkEnd w:id="188"/>
    <w:bookmarkEnd w:id="189"/>
    <w:p>
      <w:pPr>
        <w:spacing w:line="360" w:lineRule="auto"/>
        <w:ind w:firstLine="437"/>
        <w:outlineLvl w:val="3"/>
        <w:rPr>
          <w:rFonts w:asciiTheme="minorEastAsia" w:hAnsiTheme="minorEastAsia" w:eastAsiaTheme="minorEastAsia"/>
          <w:b/>
          <w:color w:val="auto"/>
          <w:sz w:val="24"/>
          <w:highlight w:val="none"/>
        </w:rPr>
      </w:pPr>
      <w:bookmarkStart w:id="217" w:name="_Toc18540"/>
      <w:bookmarkStart w:id="218" w:name="_Toc4355"/>
      <w:bookmarkStart w:id="219" w:name="_Toc279701262"/>
      <w:bookmarkStart w:id="220" w:name="_Toc487900372"/>
      <w:bookmarkStart w:id="221" w:name="_Toc30599"/>
      <w:bookmarkStart w:id="222" w:name="_Toc259093691"/>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8</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计量单位</w:t>
      </w:r>
      <w:bookmarkEnd w:id="217"/>
      <w:bookmarkEnd w:id="218"/>
      <w:bookmarkEnd w:id="219"/>
      <w:bookmarkEnd w:id="220"/>
      <w:bookmarkEnd w:id="221"/>
      <w:bookmarkEnd w:id="222"/>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除技术规范中另有规定外,合同的计量单位均使用国家法定计量单位。</w:t>
      </w:r>
    </w:p>
    <w:p>
      <w:pPr>
        <w:spacing w:line="360" w:lineRule="auto"/>
        <w:ind w:firstLine="437"/>
        <w:outlineLvl w:val="3"/>
        <w:rPr>
          <w:rFonts w:asciiTheme="minorEastAsia" w:hAnsiTheme="minorEastAsia" w:eastAsiaTheme="minorEastAsia"/>
          <w:b/>
          <w:bCs/>
          <w:color w:val="auto"/>
          <w:sz w:val="24"/>
          <w:highlight w:val="none"/>
        </w:rPr>
      </w:pPr>
      <w:bookmarkStart w:id="223" w:name="_Toc487900373"/>
      <w:bookmarkStart w:id="224" w:name="_Toc18567"/>
      <w:bookmarkStart w:id="225" w:name="_Toc12773"/>
      <w:bookmarkStart w:id="226" w:name="_Toc259093692"/>
      <w:bookmarkStart w:id="227" w:name="_Toc10330"/>
      <w:bookmarkStart w:id="228" w:name="_Toc279701263"/>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19</w:t>
      </w:r>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223"/>
      <w:bookmarkEnd w:id="224"/>
      <w:bookmarkEnd w:id="225"/>
      <w:bookmarkEnd w:id="226"/>
      <w:bookmarkEnd w:id="227"/>
      <w:bookmarkEnd w:id="228"/>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19.1合同使用汉语</w:t>
      </w:r>
      <w:r>
        <w:rPr>
          <w:rFonts w:hint="eastAsia" w:asciiTheme="minorEastAsia" w:hAnsiTheme="minorEastAsia" w:eastAsiaTheme="minorEastAsia"/>
          <w:color w:val="auto"/>
          <w:sz w:val="24"/>
          <w:highlight w:val="none"/>
          <w:lang w:eastAsia="zh-CN"/>
        </w:rPr>
        <w:t>书写</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变更和解释</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19</w:t>
      </w:r>
      <w:r>
        <w:rPr>
          <w:rFonts w:hint="eastAsia" w:asciiTheme="minorEastAsia" w:hAnsiTheme="minorEastAsia" w:eastAsiaTheme="minorEastAsia"/>
          <w:color w:val="auto"/>
          <w:sz w:val="24"/>
          <w:highlight w:val="none"/>
        </w:rPr>
        <w:t>.2合同适用</w:t>
      </w:r>
      <w:r>
        <w:rPr>
          <w:rFonts w:asciiTheme="minorEastAsia" w:hAnsiTheme="minorEastAsia" w:eastAsiaTheme="minorEastAsia"/>
          <w:color w:val="auto"/>
          <w:sz w:val="24"/>
          <w:highlight w:val="none"/>
        </w:rPr>
        <w:t>中华人民共和国法律。</w:t>
      </w:r>
    </w:p>
    <w:p>
      <w:pPr>
        <w:spacing w:line="360" w:lineRule="auto"/>
        <w:ind w:firstLine="437"/>
        <w:outlineLvl w:val="3"/>
        <w:rPr>
          <w:rFonts w:asciiTheme="minorEastAsia" w:hAnsiTheme="minorEastAsia" w:eastAsiaTheme="minorEastAsia"/>
          <w:b/>
          <w:color w:val="auto"/>
          <w:sz w:val="24"/>
          <w:highlight w:val="none"/>
        </w:rPr>
      </w:pPr>
      <w:bookmarkStart w:id="229" w:name="_Toc3148"/>
      <w:bookmarkStart w:id="230" w:name="_Toc12004"/>
      <w:bookmarkStart w:id="231" w:name="_Toc279701264"/>
      <w:bookmarkStart w:id="232" w:name="_Toc259093693"/>
      <w:bookmarkStart w:id="233" w:name="_Toc16673"/>
      <w:bookmarkStart w:id="234" w:name="_Toc487900374"/>
      <w:r>
        <w:rPr>
          <w:rFonts w:hint="eastAsia" w:asciiTheme="minorEastAsia" w:hAnsiTheme="minorEastAsia" w:eastAsiaTheme="minorEastAsia"/>
          <w:b/>
          <w:bCs/>
          <w:color w:val="auto"/>
          <w:sz w:val="24"/>
          <w:highlight w:val="none"/>
          <w:lang w:val="zh-CN"/>
        </w:rPr>
        <w:t>2.2</w:t>
      </w:r>
      <w:r>
        <w:rPr>
          <w:rFonts w:asciiTheme="minorEastAsia" w:hAnsiTheme="minorEastAsia" w:eastAsiaTheme="minorEastAsia"/>
          <w:b/>
          <w:bCs/>
          <w:color w:val="auto"/>
          <w:sz w:val="24"/>
          <w:highlight w:val="none"/>
          <w:lang w:val="zh-CN"/>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229"/>
      <w:bookmarkEnd w:id="230"/>
      <w:bookmarkEnd w:id="231"/>
      <w:bookmarkEnd w:id="232"/>
      <w:bookmarkEnd w:id="233"/>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，以支票、汇票、本票或者金融机构、担保机构出具的保函等非现金形式，提交不超过合同价</w:t>
      </w: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%的履约保证金；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0.2履约保证金</w:t>
      </w:r>
      <w:r>
        <w:rPr>
          <w:rFonts w:hint="eastAsia" w:asciiTheme="minorEastAsia" w:hAnsiTheme="minorEastAsia" w:eastAsiaTheme="minorEastAsia"/>
          <w:color w:val="auto"/>
          <w:sz w:val="24"/>
          <w:highlight w:val="none"/>
          <w:lang w:val="en-US" w:eastAsia="zh-CN"/>
        </w:rPr>
        <w:t>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w:t>
      </w:r>
      <w:r>
        <w:rPr>
          <w:rFonts w:hint="eastAsia" w:asciiTheme="minorEastAsia" w:hAnsiTheme="minorEastAsia" w:eastAsiaTheme="minorEastAsia"/>
          <w:color w:val="auto"/>
          <w:sz w:val="24"/>
          <w:highlight w:val="none"/>
          <w:lang w:val="en-US" w:eastAsia="zh-CN"/>
        </w:rPr>
        <w:t>的时间</w:t>
      </w:r>
      <w:r>
        <w:rPr>
          <w:rFonts w:asciiTheme="minorEastAsia" w:hAnsiTheme="minorEastAsia" w:eastAsiaTheme="minorEastAsia"/>
          <w:color w:val="auto"/>
          <w:sz w:val="24"/>
          <w:highlight w:val="none"/>
        </w:rPr>
        <w:t>退还乙方</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如果乙方不履行合同</w:t>
      </w:r>
      <w:r>
        <w:rPr>
          <w:rFonts w:hint="eastAsia" w:asciiTheme="minorEastAsia" w:hAnsiTheme="minorEastAsia" w:eastAsiaTheme="minorEastAsia"/>
          <w:color w:val="auto"/>
          <w:sz w:val="24"/>
          <w:highlight w:val="none"/>
        </w:rPr>
        <w:t>，履约保证金不予退还；如果乙方</w:t>
      </w:r>
      <w:r>
        <w:rPr>
          <w:rFonts w:asciiTheme="minorEastAsia" w:hAnsiTheme="minorEastAsia" w:eastAsiaTheme="minorEastAsia"/>
          <w:color w:val="auto"/>
          <w:sz w:val="24"/>
          <w:highlight w:val="none"/>
        </w:rPr>
        <w:t>未能按合同</w:t>
      </w:r>
      <w:r>
        <w:rPr>
          <w:rFonts w:hint="eastAsia" w:asciiTheme="minorEastAsia" w:hAnsiTheme="minorEastAsia" w:eastAsiaTheme="minorEastAsia"/>
          <w:color w:val="auto"/>
          <w:sz w:val="24"/>
          <w:highlight w:val="none"/>
        </w:rPr>
        <w:t>约</w:t>
      </w:r>
      <w:r>
        <w:rPr>
          <w:rFonts w:asciiTheme="minorEastAsia" w:hAnsiTheme="minorEastAsia" w:eastAsiaTheme="minorEastAsia"/>
          <w:color w:val="auto"/>
          <w:sz w:val="24"/>
          <w:highlight w:val="none"/>
        </w:rPr>
        <w:t>定全面履行义务，那么甲方有权从履约保证金中取得补偿或赔偿</w:t>
      </w:r>
      <w:r>
        <w:rPr>
          <w:rFonts w:hint="eastAsia" w:asciiTheme="minorEastAsia" w:hAnsiTheme="minorEastAsia" w:eastAsiaTheme="minorEastAsia"/>
          <w:color w:val="auto"/>
          <w:sz w:val="24"/>
          <w:highlight w:val="none"/>
        </w:rPr>
        <w:t>，同时不影响甲方要求乙方承担合同约定的超过履约保证金的违约责任的权利。</w:t>
      </w:r>
    </w:p>
    <w:bookmarkEnd w:id="234"/>
    <w:p>
      <w:pPr>
        <w:spacing w:line="360" w:lineRule="auto"/>
        <w:ind w:firstLine="437"/>
        <w:outlineLvl w:val="3"/>
        <w:rPr>
          <w:rFonts w:asciiTheme="minorEastAsia" w:hAnsiTheme="minorEastAsia" w:eastAsiaTheme="minorEastAsia"/>
          <w:b/>
          <w:color w:val="auto"/>
          <w:sz w:val="24"/>
          <w:highlight w:val="none"/>
        </w:rPr>
      </w:pPr>
      <w:bookmarkStart w:id="235" w:name="_Toc14001"/>
      <w:bookmarkStart w:id="236" w:name="_Toc6885"/>
      <w:bookmarkStart w:id="237" w:name="_Toc19890"/>
      <w:r>
        <w:rPr>
          <w:rFonts w:hint="eastAsia" w:asciiTheme="minorEastAsia" w:hAnsiTheme="minorEastAsia" w:eastAsiaTheme="minorEastAsia"/>
          <w:b/>
          <w:bCs/>
          <w:color w:val="auto"/>
          <w:sz w:val="24"/>
          <w:highlight w:val="none"/>
          <w:lang w:val="zh-CN"/>
        </w:rPr>
        <w:t>2.2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 合同份数</w:t>
      </w:r>
      <w:bookmarkEnd w:id="235"/>
      <w:bookmarkEnd w:id="236"/>
      <w:bookmarkEnd w:id="237"/>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38"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38"/>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60"/>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7"/>
        <w:gridCol w:w="8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67" w:type="dxa"/>
            <w:tcBorders>
              <w:left w:val="single" w:color="auto" w:sz="4" w:space="0"/>
            </w:tcBorders>
            <w:vAlign w:val="center"/>
          </w:tcPr>
          <w:p>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8259" w:type="dxa"/>
            <w:vAlign w:val="center"/>
          </w:tcPr>
          <w:p>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67" w:type="dxa"/>
            <w:tcBorders>
              <w:left w:val="single" w:color="auto" w:sz="4" w:space="0"/>
            </w:tcBorders>
            <w:vAlign w:val="center"/>
          </w:tcPr>
          <w:p>
            <w:pPr>
              <w:spacing w:line="560" w:lineRule="exact"/>
              <w:jc w:val="center"/>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2.6</w:t>
            </w:r>
          </w:p>
        </w:tc>
        <w:tc>
          <w:tcPr>
            <w:tcW w:w="8259" w:type="dxa"/>
            <w:vAlign w:val="center"/>
          </w:tcPr>
          <w:p>
            <w:pPr>
              <w:spacing w:line="360" w:lineRule="auto"/>
              <w:outlineLvl w:val="3"/>
              <w:rPr>
                <w:rFonts w:hint="default" w:cs="Times New Roman" w:asciiTheme="minorEastAsia" w:hAnsiTheme="minorEastAsia" w:eastAsiaTheme="minorEastAsia"/>
                <w:color w:val="auto"/>
                <w:kern w:val="2"/>
                <w:sz w:val="24"/>
                <w:highlight w:val="none"/>
                <w:lang w:val="en-US" w:eastAsia="zh-CN" w:bidi="ar-SA"/>
              </w:rPr>
            </w:pPr>
            <w:r>
              <w:rPr>
                <w:rFonts w:asciiTheme="minorEastAsia" w:hAnsiTheme="minorEastAsia" w:eastAsiaTheme="minorEastAsia"/>
                <w:b/>
                <w:bCs/>
                <w:color w:val="auto"/>
                <w:sz w:val="24"/>
                <w:highlight w:val="none"/>
                <w:lang w:val="zh-CN"/>
              </w:rPr>
              <w:t>结算方式和付款条件</w:t>
            </w:r>
            <w:r>
              <w:rPr>
                <w:rFonts w:hint="eastAsia" w:asciiTheme="minorEastAsia" w:hAnsiTheme="minorEastAsia" w:eastAsiaTheme="minorEastAsia"/>
                <w:b/>
                <w:bCs/>
                <w:color w:val="auto"/>
                <w:sz w:val="24"/>
                <w:highlight w:val="none"/>
                <w:lang w:val="zh-CN"/>
              </w:rPr>
              <w:t>：</w:t>
            </w:r>
            <w:r>
              <w:rPr>
                <w:rFonts w:hint="default" w:asciiTheme="minorEastAsia" w:hAnsiTheme="minorEastAsia" w:eastAsiaTheme="minorEastAsia"/>
                <w:b/>
                <w:bCs/>
                <w:color w:val="auto"/>
                <w:sz w:val="24"/>
                <w:highlight w:val="none"/>
                <w:lang w:val="en-US"/>
              </w:rPr>
              <w:t xml:space="preserve"> </w:t>
            </w:r>
            <w:r>
              <w:rPr>
                <w:rFonts w:hint="eastAsia" w:asciiTheme="minorEastAsia" w:hAnsiTheme="minorEastAsia" w:eastAsiaTheme="minorEastAsia"/>
                <w:b/>
                <w:bCs/>
                <w:color w:val="auto"/>
                <w:sz w:val="24"/>
                <w:highlight w:val="none"/>
                <w:lang w:val="en-US" w:eastAsia="zh-CN"/>
              </w:rPr>
              <w:t>此处内容需明确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pPr>
              <w:spacing w:line="560" w:lineRule="exact"/>
              <w:jc w:val="center"/>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2.17</w:t>
            </w:r>
          </w:p>
        </w:tc>
        <w:tc>
          <w:tcPr>
            <w:tcW w:w="8259" w:type="dxa"/>
            <w:vAlign w:val="center"/>
          </w:tcPr>
          <w:p>
            <w:pPr>
              <w:spacing w:line="360" w:lineRule="auto"/>
              <w:outlineLvl w:val="3"/>
              <w:rPr>
                <w:rFonts w:cs="Times New Roman"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zh-CN"/>
              </w:rPr>
              <w:t>检验和验收：</w:t>
            </w:r>
            <w:r>
              <w:rPr>
                <w:rFonts w:hint="eastAsia" w:asciiTheme="minorEastAsia" w:hAnsiTheme="minorEastAsia" w:eastAsiaTheme="minorEastAsia"/>
                <w:b/>
                <w:bCs/>
                <w:color w:val="auto"/>
                <w:sz w:val="24"/>
                <w:highlight w:val="none"/>
                <w:lang w:val="en-US" w:eastAsia="zh-CN"/>
              </w:rPr>
              <w:t>此处内容需明确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pPr>
              <w:spacing w:line="560" w:lineRule="exact"/>
              <w:jc w:val="center"/>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2.20</w:t>
            </w:r>
          </w:p>
        </w:tc>
        <w:tc>
          <w:tcPr>
            <w:tcW w:w="8259" w:type="dxa"/>
            <w:vAlign w:val="center"/>
          </w:tcPr>
          <w:p>
            <w:pPr>
              <w:spacing w:line="560" w:lineRule="exact"/>
              <w:rPr>
                <w:rFonts w:cs="Times New Roman" w:asciiTheme="minorEastAsia" w:hAnsiTheme="minorEastAsia" w:eastAsiaTheme="minorEastAsia"/>
                <w:color w:val="auto"/>
                <w:kern w:val="2"/>
                <w:sz w:val="24"/>
                <w:highlight w:val="none"/>
                <w:lang w:val="en-US" w:eastAsia="zh-CN" w:bidi="ar-SA"/>
              </w:rPr>
            </w:pPr>
            <w:r>
              <w:rPr>
                <w:rFonts w:asciiTheme="minorEastAsia" w:hAnsiTheme="minorEastAsia" w:eastAsiaTheme="minorEastAsia"/>
                <w:b/>
                <w:bCs/>
                <w:color w:val="auto"/>
                <w:sz w:val="24"/>
                <w:highlight w:val="none"/>
                <w:lang w:val="zh-CN"/>
              </w:rPr>
              <w:t>履约保证金</w:t>
            </w:r>
            <w:r>
              <w:rPr>
                <w:rFonts w:hint="eastAsia" w:asciiTheme="minorEastAsia" w:hAnsiTheme="minorEastAsia" w:eastAsiaTheme="minorEastAsia"/>
                <w:b/>
                <w:bCs/>
                <w:color w:val="auto"/>
                <w:sz w:val="24"/>
                <w:highlight w:val="none"/>
                <w:lang w:val="zh-CN"/>
              </w:rPr>
              <w:t>：</w:t>
            </w:r>
            <w:r>
              <w:rPr>
                <w:rFonts w:hint="eastAsia" w:asciiTheme="minorEastAsia" w:hAnsiTheme="minorEastAsia" w:eastAsiaTheme="minorEastAsia"/>
                <w:b/>
                <w:bCs/>
                <w:color w:val="auto"/>
                <w:sz w:val="24"/>
                <w:highlight w:val="none"/>
                <w:lang w:val="en-US" w:eastAsia="zh-CN"/>
              </w:rPr>
              <w:t>此处内容需明确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pPr>
              <w:spacing w:line="560" w:lineRule="exact"/>
              <w:jc w:val="center"/>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w:t>
            </w:r>
          </w:p>
        </w:tc>
        <w:tc>
          <w:tcPr>
            <w:tcW w:w="8259" w:type="dxa"/>
            <w:vAlign w:val="center"/>
          </w:tcPr>
          <w:p>
            <w:pPr>
              <w:spacing w:line="560" w:lineRule="exact"/>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pPr>
              <w:spacing w:line="560" w:lineRule="exact"/>
              <w:rPr>
                <w:rFonts w:asciiTheme="minorEastAsia" w:hAnsiTheme="minorEastAsia" w:eastAsiaTheme="minorEastAsia"/>
                <w:color w:val="auto"/>
                <w:sz w:val="24"/>
                <w:highlight w:val="none"/>
              </w:rPr>
            </w:pPr>
          </w:p>
        </w:tc>
        <w:tc>
          <w:tcPr>
            <w:tcW w:w="8259" w:type="dxa"/>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heme="minorEastAsia" w:hAnsiTheme="minorEastAsia" w:eastAsiaTheme="minorEastAsia"/>
                <w:color w:val="auto"/>
                <w:sz w:val="24"/>
                <w:highlight w:val="none"/>
              </w:rPr>
            </w:pPr>
          </w:p>
        </w:tc>
      </w:tr>
    </w:tbl>
    <w:p>
      <w:pPr>
        <w:rPr>
          <w:color w:val="auto"/>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tabs>
          <w:tab w:val="left" w:pos="3640"/>
        </w:tabs>
        <w:autoSpaceDE w:val="0"/>
        <w:autoSpaceDN w:val="0"/>
        <w:spacing w:line="480" w:lineRule="auto"/>
        <w:ind w:firstLine="420" w:firstLineChars="200"/>
        <w:rPr>
          <w:rFonts w:ascii="宋体" w:cs="宋体"/>
          <w:color w:val="auto"/>
          <w:highlight w:val="none"/>
        </w:rPr>
      </w:pPr>
      <w:r>
        <w:rPr>
          <w:rFonts w:ascii="宋体" w:cs="宋体"/>
          <w:color w:val="auto"/>
          <w:highlight w:val="none"/>
        </w:rPr>
        <w:br w:type="page"/>
      </w:r>
    </w:p>
    <w:p>
      <w:pPr>
        <w:pStyle w:val="2"/>
        <w:spacing w:before="62" w:beforeLines="20" w:after="62" w:afterLines="20" w:line="480" w:lineRule="exact"/>
        <w:ind w:firstLine="0" w:firstLineChars="0"/>
        <w:jc w:val="center"/>
        <w:rPr>
          <w:rFonts w:ascii="Arial" w:hAnsi="Arial"/>
          <w:color w:val="auto"/>
          <w:kern w:val="2"/>
          <w:sz w:val="36"/>
          <w:szCs w:val="36"/>
          <w:highlight w:val="none"/>
        </w:rPr>
      </w:pPr>
      <w:bookmarkStart w:id="239" w:name="_Toc8981"/>
      <w:bookmarkStart w:id="240" w:name="_Toc54941341"/>
      <w:bookmarkStart w:id="241" w:name="_Toc439316880"/>
      <w:bookmarkStart w:id="242" w:name="_Toc1812"/>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243" w:name="_Toc417656001"/>
      <w:r>
        <w:rPr>
          <w:rFonts w:hint="eastAsia" w:ascii="Arial" w:hAnsi="Arial"/>
          <w:color w:val="auto"/>
          <w:kern w:val="2"/>
          <w:sz w:val="36"/>
          <w:szCs w:val="36"/>
          <w:highlight w:val="none"/>
        </w:rPr>
        <w:t>响应文件格式</w:t>
      </w:r>
      <w:bookmarkEnd w:id="239"/>
      <w:bookmarkEnd w:id="240"/>
      <w:bookmarkEnd w:id="241"/>
      <w:bookmarkEnd w:id="242"/>
      <w:bookmarkEnd w:id="243"/>
    </w:p>
    <w:p>
      <w:pPr>
        <w:spacing w:line="360" w:lineRule="auto"/>
        <w:jc w:val="center"/>
        <w:rPr>
          <w:rFonts w:ascii="仿宋" w:hAnsi="仿宋" w:eastAsia="仿宋"/>
          <w:b/>
          <w:color w:val="auto"/>
          <w:spacing w:val="20"/>
          <w:sz w:val="36"/>
          <w:szCs w:val="36"/>
          <w:highlight w:val="none"/>
          <w:u w:val="single"/>
        </w:rPr>
      </w:pPr>
    </w:p>
    <w:p>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pPr>
        <w:spacing w:line="480" w:lineRule="auto"/>
        <w:jc w:val="center"/>
        <w:rPr>
          <w:rFonts w:ascii="宋体"/>
          <w:b/>
          <w:color w:val="auto"/>
          <w:sz w:val="72"/>
          <w:szCs w:val="72"/>
          <w:highlight w:val="none"/>
        </w:rPr>
      </w:pPr>
    </w:p>
    <w:p>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pPr>
        <w:spacing w:line="480" w:lineRule="auto"/>
        <w:jc w:val="center"/>
        <w:rPr>
          <w:rFonts w:ascii="宋体"/>
          <w:b/>
          <w:color w:val="auto"/>
          <w:sz w:val="72"/>
          <w:szCs w:val="72"/>
          <w:highlight w:val="none"/>
        </w:rPr>
      </w:pPr>
    </w:p>
    <w:p>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pPr>
        <w:spacing w:line="480" w:lineRule="auto"/>
        <w:jc w:val="center"/>
        <w:rPr>
          <w:rFonts w:ascii="宋体"/>
          <w:b/>
          <w:color w:val="auto"/>
          <w:sz w:val="72"/>
          <w:szCs w:val="72"/>
          <w:highlight w:val="none"/>
        </w:rPr>
      </w:pPr>
    </w:p>
    <w:p>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pPr>
        <w:pStyle w:val="74"/>
        <w:ind w:left="0" w:leftChars="0" w:firstLine="0" w:firstLineChars="0"/>
        <w:rPr>
          <w:rFonts w:ascii="宋体"/>
          <w:color w:val="auto"/>
          <w:sz w:val="24"/>
          <w:highlight w:val="none"/>
        </w:rPr>
      </w:pPr>
    </w:p>
    <w:p>
      <w:pPr>
        <w:spacing w:line="360" w:lineRule="auto"/>
        <w:rPr>
          <w:rFonts w:ascii="宋体"/>
          <w:color w:val="auto"/>
          <w:sz w:val="24"/>
          <w:highlight w:val="none"/>
        </w:rPr>
      </w:pPr>
    </w:p>
    <w:p>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pPr>
        <w:spacing w:line="360" w:lineRule="auto"/>
        <w:rPr>
          <w:rFonts w:ascii="仿宋_GB2312" w:eastAsia="仿宋_GB2312"/>
          <w:color w:val="auto"/>
          <w:sz w:val="30"/>
          <w:szCs w:val="30"/>
          <w:highlight w:val="none"/>
        </w:rPr>
      </w:pPr>
    </w:p>
    <w:p>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pPr>
        <w:spacing w:line="480" w:lineRule="exact"/>
        <w:jc w:val="center"/>
        <w:rPr>
          <w:rFonts w:ascii="宋体" w:hAnsi="宋体"/>
          <w:b/>
          <w:color w:val="auto"/>
          <w:sz w:val="30"/>
          <w:szCs w:val="30"/>
          <w:highlight w:val="none"/>
        </w:rPr>
      </w:pPr>
    </w:p>
    <w:p>
      <w:pPr>
        <w:spacing w:line="480" w:lineRule="exact"/>
        <w:rPr>
          <w:rFonts w:ascii="黑体" w:eastAsia="黑体"/>
          <w:b/>
          <w:bCs/>
          <w:color w:val="auto"/>
          <w:szCs w:val="21"/>
          <w:highlight w:val="none"/>
        </w:rPr>
      </w:pPr>
    </w:p>
    <w:p>
      <w:pPr>
        <w:jc w:val="center"/>
        <w:rPr>
          <w:rFonts w:hint="eastAsia" w:ascii="宋体" w:hAnsi="宋体" w:cs="宋体"/>
          <w:b/>
          <w:color w:val="auto"/>
          <w:sz w:val="30"/>
          <w:szCs w:val="30"/>
          <w:highlight w:val="none"/>
        </w:rPr>
      </w:pPr>
    </w:p>
    <w:p>
      <w:pPr>
        <w:jc w:val="center"/>
        <w:rPr>
          <w:rFonts w:hint="eastAsia" w:ascii="宋体" w:hAnsi="宋体" w:cs="宋体"/>
          <w:b/>
          <w:color w:val="auto"/>
          <w:sz w:val="30"/>
          <w:szCs w:val="30"/>
          <w:highlight w:val="none"/>
        </w:rPr>
      </w:pPr>
    </w:p>
    <w:p>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录</w:t>
      </w:r>
    </w:p>
    <w:p>
      <w:pPr>
        <w:numPr>
          <w:ilvl w:val="0"/>
          <w:numId w:val="7"/>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rPr>
        <w:t>磋商响应函</w:t>
      </w:r>
    </w:p>
    <w:p>
      <w:pPr>
        <w:numPr>
          <w:ilvl w:val="0"/>
          <w:numId w:val="7"/>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rPr>
        <w:t>报价表</w:t>
      </w:r>
    </w:p>
    <w:p>
      <w:pPr>
        <w:numPr>
          <w:ilvl w:val="0"/>
          <w:numId w:val="7"/>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响应表</w:t>
      </w:r>
    </w:p>
    <w:p>
      <w:pPr>
        <w:numPr>
          <w:ilvl w:val="0"/>
          <w:numId w:val="7"/>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最后报价表</w:t>
      </w:r>
    </w:p>
    <w:p>
      <w:pPr>
        <w:numPr>
          <w:ilvl w:val="0"/>
          <w:numId w:val="7"/>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及技术方案</w:t>
      </w:r>
    </w:p>
    <w:p>
      <w:pPr>
        <w:numPr>
          <w:ilvl w:val="0"/>
          <w:numId w:val="7"/>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诚信响应承诺书</w:t>
      </w:r>
    </w:p>
    <w:p>
      <w:pPr>
        <w:numPr>
          <w:ilvl w:val="0"/>
          <w:numId w:val="7"/>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中小企业声明函</w:t>
      </w:r>
    </w:p>
    <w:p>
      <w:pPr>
        <w:numPr>
          <w:ilvl w:val="0"/>
          <w:numId w:val="7"/>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残疾人福利性单位声明函</w:t>
      </w:r>
    </w:p>
    <w:p>
      <w:pPr>
        <w:numPr>
          <w:ilvl w:val="0"/>
          <w:numId w:val="7"/>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供应商声明函</w:t>
      </w:r>
    </w:p>
    <w:p>
      <w:pPr>
        <w:numPr>
          <w:ilvl w:val="0"/>
          <w:numId w:val="7"/>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联合体协议</w:t>
      </w:r>
    </w:p>
    <w:p>
      <w:pPr>
        <w:numPr>
          <w:ilvl w:val="0"/>
          <w:numId w:val="7"/>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证明材料</w:t>
      </w:r>
    </w:p>
    <w:p>
      <w:pPr>
        <w:pStyle w:val="74"/>
        <w:rPr>
          <w:rFonts w:hint="default"/>
          <w:color w:val="auto"/>
          <w:highlight w:val="none"/>
          <w:lang w:val="en-US" w:eastAsia="zh-CN"/>
        </w:rPr>
      </w:pPr>
    </w:p>
    <w:p>
      <w:pPr>
        <w:spacing w:line="480" w:lineRule="auto"/>
        <w:ind w:firstLine="480" w:firstLineChars="200"/>
        <w:rPr>
          <w:rFonts w:ascii="宋体" w:hAnsi="宋体" w:cs="宋体"/>
          <w:color w:val="auto"/>
          <w:sz w:val="24"/>
          <w:highlight w:val="none"/>
        </w:rPr>
      </w:pPr>
    </w:p>
    <w:p>
      <w:pPr>
        <w:spacing w:line="480" w:lineRule="auto"/>
        <w:ind w:firstLine="480" w:firstLineChars="200"/>
        <w:rPr>
          <w:rFonts w:ascii="宋体" w:cs="宋体"/>
          <w:color w:val="auto"/>
          <w:sz w:val="24"/>
          <w:highlight w:val="none"/>
        </w:rPr>
      </w:pPr>
    </w:p>
    <w:p>
      <w:pPr>
        <w:spacing w:line="360" w:lineRule="auto"/>
        <w:ind w:firstLine="480" w:firstLineChars="200"/>
        <w:rPr>
          <w:rFonts w:ascii="宋体" w:cs="宋体"/>
          <w:color w:val="auto"/>
          <w:sz w:val="24"/>
          <w:highlight w:val="none"/>
        </w:rPr>
      </w:pPr>
    </w:p>
    <w:p>
      <w:pPr>
        <w:widowControl/>
        <w:jc w:val="left"/>
        <w:rPr>
          <w:rFonts w:ascii="宋体" w:cs="宋体"/>
          <w:color w:val="auto"/>
          <w:sz w:val="24"/>
          <w:highlight w:val="none"/>
        </w:rPr>
      </w:pPr>
      <w:r>
        <w:rPr>
          <w:rFonts w:ascii="宋体" w:cs="宋体"/>
          <w:color w:val="auto"/>
          <w:sz w:val="24"/>
          <w:highlight w:val="none"/>
        </w:rPr>
        <w:br w:type="page"/>
      </w:r>
    </w:p>
    <w:p>
      <w:pPr>
        <w:pStyle w:val="8"/>
        <w:jc w:val="center"/>
        <w:rPr>
          <w:rFonts w:cs="宋体"/>
          <w:color w:val="auto"/>
          <w:sz w:val="28"/>
          <w:szCs w:val="28"/>
          <w:highlight w:val="none"/>
        </w:rPr>
      </w:pPr>
      <w:bookmarkStart w:id="244" w:name="_Toc54941342"/>
      <w:bookmarkStart w:id="245" w:name="_Toc476584433"/>
      <w:r>
        <w:rPr>
          <w:rFonts w:hint="eastAsia" w:cs="宋体"/>
          <w:color w:val="auto"/>
          <w:sz w:val="28"/>
          <w:szCs w:val="28"/>
          <w:highlight w:val="none"/>
        </w:rPr>
        <w:t>一、磋商响应函</w:t>
      </w:r>
      <w:bookmarkEnd w:id="244"/>
      <w:bookmarkEnd w:id="245"/>
    </w:p>
    <w:p>
      <w:pPr>
        <w:pStyle w:val="33"/>
        <w:spacing w:line="360" w:lineRule="auto"/>
        <w:ind w:left="0" w:leftChars="0" w:firstLine="0" w:firstLineChars="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（采购人名称）</w:t>
      </w:r>
    </w:p>
    <w:p>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46" w:name="_Hlk44287576"/>
      <w:r>
        <w:rPr>
          <w:rFonts w:hint="eastAsia" w:ascii="宋体" w:hAnsi="宋体" w:eastAsia="宋体"/>
          <w:color w:val="auto"/>
          <w:sz w:val="24"/>
          <w:highlight w:val="none"/>
        </w:rPr>
        <w:t>竞争性</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公告</w:t>
      </w:r>
      <w:bookmarkEnd w:id="246"/>
      <w:r>
        <w:rPr>
          <w:rFonts w:hint="eastAsia" w:ascii="宋体" w:hAnsi="宋体" w:eastAsia="宋体"/>
          <w:color w:val="auto"/>
          <w:sz w:val="24"/>
          <w:highlight w:val="none"/>
          <w:lang w:eastAsia="zh-CN"/>
        </w:rPr>
        <w:t>（或磋商</w:t>
      </w:r>
      <w:r>
        <w:rPr>
          <w:rFonts w:hint="eastAsia" w:ascii="宋体" w:hAnsi="宋体" w:eastAsia="宋体"/>
          <w:color w:val="auto"/>
          <w:sz w:val="24"/>
          <w:highlight w:val="none"/>
        </w:rPr>
        <w:t>邀请</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，我方兹宣布同意如下：</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文件规定缴纳履约保证金和成交服务费。按本次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文件规定及最后报价承诺供货及安装。</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w:t>
      </w:r>
      <w:r>
        <w:rPr>
          <w:rFonts w:hint="eastAsia" w:ascii="宋体" w:hAnsi="宋体"/>
          <w:color w:val="auto"/>
          <w:sz w:val="24"/>
          <w:highlight w:val="none"/>
          <w:lang w:val="en-US" w:eastAsia="zh-CN"/>
        </w:rPr>
        <w:t>甲方（采购人）</w:t>
      </w:r>
      <w:r>
        <w:rPr>
          <w:rFonts w:hint="eastAsia" w:ascii="宋体" w:hAnsi="宋体" w:eastAsia="宋体"/>
          <w:color w:val="auto"/>
          <w:sz w:val="24"/>
          <w:highlight w:val="none"/>
        </w:rPr>
        <w:t>要求的日期内完成</w:t>
      </w:r>
      <w:r>
        <w:rPr>
          <w:rFonts w:hint="eastAsia" w:ascii="宋体" w:hAnsi="宋体"/>
          <w:color w:val="auto"/>
          <w:sz w:val="24"/>
          <w:highlight w:val="none"/>
          <w:lang w:val="en-US" w:eastAsia="zh-CN"/>
        </w:rPr>
        <w:t>项目的交货及安装</w:t>
      </w:r>
      <w:r>
        <w:rPr>
          <w:rFonts w:hint="eastAsia" w:ascii="宋体" w:hAnsi="宋体" w:eastAsia="宋体"/>
          <w:color w:val="auto"/>
          <w:sz w:val="24"/>
          <w:highlight w:val="none"/>
        </w:rPr>
        <w:t>，并通过</w:t>
      </w:r>
      <w:r>
        <w:rPr>
          <w:rFonts w:hint="eastAsia" w:ascii="宋体" w:hAnsi="宋体"/>
          <w:color w:val="auto"/>
          <w:sz w:val="24"/>
          <w:highlight w:val="none"/>
          <w:lang w:val="en-US" w:eastAsia="zh-CN"/>
        </w:rPr>
        <w:t>甲方（采购人）</w:t>
      </w:r>
      <w:r>
        <w:rPr>
          <w:rFonts w:hint="eastAsia" w:ascii="宋体" w:hAnsi="宋体" w:eastAsia="宋体"/>
          <w:color w:val="auto"/>
          <w:sz w:val="24"/>
          <w:highlight w:val="none"/>
        </w:rPr>
        <w:t>验收。</w:t>
      </w:r>
    </w:p>
    <w:p>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文件附件、参考资料、</w:t>
      </w:r>
      <w:r>
        <w:rPr>
          <w:rFonts w:hint="eastAsia" w:ascii="宋体" w:hAnsi="宋体"/>
          <w:color w:val="auto"/>
          <w:sz w:val="24"/>
          <w:highlight w:val="none"/>
          <w:lang w:val="en-US" w:eastAsia="zh-CN"/>
        </w:rPr>
        <w:t>更正公告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文件各项条款、规定及要求均无异议。</w:t>
      </w:r>
    </w:p>
    <w:p>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有效期之前均具有约束力。</w:t>
      </w:r>
    </w:p>
    <w:p>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有关的任何证据或补充资料，否则，我方的响应文件可被贵方拒绝。</w:t>
      </w:r>
    </w:p>
    <w:p>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w:t>
      </w:r>
    </w:p>
    <w:p>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文件规定的付款方式、服务</w:t>
      </w:r>
      <w:r>
        <w:rPr>
          <w:rFonts w:hint="eastAsia" w:ascii="宋体" w:hAnsi="宋体" w:eastAsia="宋体"/>
          <w:color w:val="auto"/>
          <w:sz w:val="24"/>
          <w:highlight w:val="none"/>
          <w:lang w:eastAsia="zh-CN"/>
        </w:rPr>
        <w:t>（或供货）</w:t>
      </w:r>
      <w:r>
        <w:rPr>
          <w:rFonts w:hint="eastAsia" w:ascii="宋体" w:hAnsi="宋体" w:eastAsia="宋体"/>
          <w:color w:val="auto"/>
          <w:sz w:val="24"/>
          <w:highlight w:val="none"/>
        </w:rPr>
        <w:t>期限。</w:t>
      </w:r>
    </w:p>
    <w:p>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pPr>
        <w:spacing w:line="360" w:lineRule="auto"/>
        <w:ind w:firstLine="480" w:firstLineChars="200"/>
        <w:rPr>
          <w:rFonts w:ascii="宋体" w:hAnsi="宋体" w:eastAsia="宋体"/>
          <w:color w:val="auto"/>
          <w:sz w:val="24"/>
          <w:highlight w:val="none"/>
        </w:rPr>
      </w:pPr>
    </w:p>
    <w:p>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pStyle w:val="30"/>
        <w:tabs>
          <w:tab w:val="left" w:pos="5580"/>
        </w:tabs>
        <w:spacing w:line="480" w:lineRule="auto"/>
        <w:ind w:firstLine="3600" w:firstLineChars="1500"/>
        <w:rPr>
          <w:rFonts w:hint="eastAsia" w:hAnsi="宋体" w:cs="宋体"/>
          <w:color w:val="auto"/>
          <w:highlight w:val="none"/>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pStyle w:val="30"/>
        <w:tabs>
          <w:tab w:val="left" w:pos="5580"/>
        </w:tabs>
        <w:spacing w:line="480" w:lineRule="auto"/>
        <w:rPr>
          <w:rFonts w:hint="eastAsia" w:hAnsi="宋体" w:cs="宋体"/>
          <w:color w:val="auto"/>
          <w:highlight w:val="none"/>
        </w:rPr>
      </w:pPr>
    </w:p>
    <w:p>
      <w:pPr>
        <w:pStyle w:val="30"/>
        <w:tabs>
          <w:tab w:val="left" w:pos="5580"/>
        </w:tabs>
        <w:spacing w:line="480" w:lineRule="auto"/>
        <w:rPr>
          <w:rFonts w:hint="eastAsia" w:hAnsi="宋体" w:cs="宋体"/>
          <w:color w:val="auto"/>
          <w:highlight w:val="none"/>
        </w:rPr>
      </w:pPr>
    </w:p>
    <w:p>
      <w:pPr>
        <w:pStyle w:val="8"/>
        <w:numPr>
          <w:ilvl w:val="0"/>
          <w:numId w:val="8"/>
        </w:numPr>
        <w:jc w:val="center"/>
        <w:rPr>
          <w:rFonts w:cs="宋体"/>
          <w:color w:val="auto"/>
          <w:sz w:val="28"/>
          <w:szCs w:val="28"/>
          <w:highlight w:val="none"/>
        </w:rPr>
      </w:pPr>
      <w:bookmarkStart w:id="247" w:name="_Toc28034"/>
      <w:bookmarkStart w:id="248" w:name="_Toc476584434"/>
      <w:bookmarkStart w:id="249" w:name="_Toc54941343"/>
      <w:bookmarkStart w:id="250" w:name="_Toc27341"/>
      <w:bookmarkStart w:id="251" w:name="_Toc388283751"/>
      <w:r>
        <w:rPr>
          <w:rFonts w:hint="eastAsia" w:cs="宋体"/>
          <w:color w:val="auto"/>
          <w:sz w:val="28"/>
          <w:szCs w:val="28"/>
          <w:highlight w:val="none"/>
        </w:rPr>
        <w:t>报价表</w:t>
      </w:r>
      <w:bookmarkEnd w:id="247"/>
      <w:bookmarkEnd w:id="248"/>
      <w:bookmarkEnd w:id="249"/>
    </w:p>
    <w:p>
      <w:pPr>
        <w:rPr>
          <w:rFonts w:hint="eastAsia" w:hAnsi="宋体" w:eastAsia="宋体" w:cs="宋体"/>
          <w:color w:val="auto"/>
          <w:kern w:val="2"/>
          <w:sz w:val="28"/>
          <w:szCs w:val="28"/>
          <w:highlight w:val="none"/>
          <w:lang w:val="en-US" w:eastAsia="zh-CN" w:bidi="ar-SA"/>
        </w:rPr>
      </w:pPr>
      <w:r>
        <w:rPr>
          <w:rFonts w:hint="eastAsia" w:ascii="Times New Roman" w:hAnsi="宋体" w:eastAsia="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pPr>
        <w:snapToGrid w:val="0"/>
        <w:spacing w:line="360" w:lineRule="auto"/>
        <w:jc w:val="left"/>
        <w:rPr>
          <w:rFonts w:hint="eastAsia" w:ascii="宋体" w:hAnsi="宋体" w:eastAsia="宋体"/>
          <w:b/>
          <w:color w:val="auto"/>
          <w:sz w:val="24"/>
          <w:szCs w:val="28"/>
          <w:highlight w:val="none"/>
        </w:rPr>
      </w:pPr>
    </w:p>
    <w:p>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pPr>
              <w:snapToGrid w:val="0"/>
              <w:spacing w:line="360" w:lineRule="auto"/>
              <w:jc w:val="both"/>
              <w:rPr>
                <w:rFonts w:ascii="宋体" w:hAnsi="宋体" w:eastAsia="宋体"/>
                <w:b/>
                <w:color w:val="auto"/>
                <w:sz w:val="28"/>
                <w:szCs w:val="28"/>
                <w:highlight w:val="none"/>
              </w:rPr>
            </w:pPr>
            <w:r>
              <w:rPr>
                <w:rFonts w:hint="eastAsia" w:ascii="宋体" w:hAnsi="宋体" w:eastAsia="宋体" w:cs="宋体"/>
                <w:bCs/>
                <w:color w:val="auto"/>
                <w:sz w:val="28"/>
                <w:szCs w:val="28"/>
                <w:highlight w:val="none"/>
                <w:lang w:val="en-US" w:eastAsia="zh-CN"/>
              </w:rPr>
              <w:t>费率</w:t>
            </w:r>
            <w:r>
              <w:rPr>
                <w:rFonts w:hint="eastAsia" w:ascii="宋体" w:hAnsi="宋体" w:eastAsia="宋体" w:cs="宋体"/>
                <w:bCs/>
                <w:color w:val="auto"/>
                <w:sz w:val="28"/>
                <w:szCs w:val="28"/>
                <w:highlight w:val="none"/>
              </w:rPr>
              <w:t>小写：</w:t>
            </w:r>
            <w:r>
              <w:rPr>
                <w:rFonts w:hint="eastAsia" w:ascii="宋体" w:hAnsi="宋体" w:eastAsia="宋体" w:cs="宋体"/>
                <w:bCs/>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pPr>
              <w:spacing w:line="360" w:lineRule="auto"/>
              <w:jc w:val="center"/>
              <w:rPr>
                <w:rFonts w:ascii="宋体" w:hAnsi="宋体" w:eastAsia="宋体"/>
                <w:b/>
                <w:color w:val="auto"/>
                <w:sz w:val="24"/>
                <w:highlight w:val="none"/>
              </w:rPr>
            </w:pPr>
          </w:p>
        </w:tc>
        <w:tc>
          <w:tcPr>
            <w:tcW w:w="3556" w:type="pct"/>
            <w:vAlign w:val="center"/>
          </w:tcPr>
          <w:p>
            <w:pPr>
              <w:snapToGrid w:val="0"/>
              <w:spacing w:line="360" w:lineRule="auto"/>
              <w:jc w:val="both"/>
              <w:rPr>
                <w:rFonts w:ascii="宋体" w:hAnsi="宋体" w:eastAsia="宋体"/>
                <w:b/>
                <w:color w:val="auto"/>
                <w:sz w:val="28"/>
                <w:szCs w:val="28"/>
                <w:highlight w:val="none"/>
              </w:rPr>
            </w:pPr>
            <w:r>
              <w:rPr>
                <w:rFonts w:hint="eastAsia" w:ascii="宋体" w:hAnsi="宋体" w:eastAsia="宋体" w:cs="宋体"/>
                <w:bCs/>
                <w:color w:val="auto"/>
                <w:sz w:val="28"/>
                <w:szCs w:val="28"/>
                <w:highlight w:val="none"/>
                <w:lang w:val="en-US" w:eastAsia="zh-CN"/>
              </w:rPr>
              <w:t>费率</w:t>
            </w:r>
            <w:r>
              <w:rPr>
                <w:rFonts w:hint="eastAsia" w:ascii="宋体" w:hAnsi="宋体" w:eastAsia="宋体" w:cs="宋体"/>
                <w:bCs/>
                <w:color w:val="auto"/>
                <w:sz w:val="28"/>
                <w:szCs w:val="28"/>
                <w:highlight w:val="none"/>
              </w:rPr>
              <w:t>大写：</w:t>
            </w:r>
            <w:r>
              <w:rPr>
                <w:rFonts w:hint="eastAsia" w:ascii="宋体" w:hAnsi="宋体" w:eastAsia="宋体" w:cs="宋体"/>
                <w:bCs/>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pPr>
              <w:spacing w:line="360" w:lineRule="auto"/>
              <w:rPr>
                <w:rFonts w:ascii="宋体" w:hAnsi="宋体" w:eastAsia="宋体"/>
                <w:b/>
                <w:color w:val="auto"/>
                <w:sz w:val="24"/>
                <w:highlight w:val="none"/>
              </w:rPr>
            </w:pPr>
          </w:p>
        </w:tc>
      </w:tr>
    </w:tbl>
    <w:p>
      <w:pPr>
        <w:spacing w:line="440" w:lineRule="exact"/>
        <w:ind w:firstLine="4800" w:firstLineChars="2000"/>
        <w:rPr>
          <w:rFonts w:hint="eastAsia" w:ascii="宋体" w:hAnsi="宋体" w:eastAsia="宋体"/>
          <w:color w:val="auto"/>
          <w:sz w:val="24"/>
          <w:szCs w:val="24"/>
          <w:highlight w:val="none"/>
        </w:rPr>
      </w:pP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公</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hint="eastAsia" w:ascii="宋体" w:hAnsi="宋体" w:eastAsia="宋体"/>
          <w:color w:val="auto"/>
          <w:sz w:val="24"/>
          <w:szCs w:val="24"/>
          <w:highlight w:val="none"/>
        </w:rPr>
      </w:pPr>
    </w:p>
    <w:p>
      <w:pPr>
        <w:spacing w:line="440" w:lineRule="exact"/>
        <w:ind w:firstLine="4800" w:firstLineChars="2000"/>
        <w:rPr>
          <w:rFonts w:hint="eastAsia" w:ascii="宋体" w:hAnsi="宋体" w:eastAsia="宋体"/>
          <w:color w:val="auto"/>
          <w:sz w:val="24"/>
          <w:szCs w:val="24"/>
          <w:highlight w:val="none"/>
          <w:u w:val="single"/>
        </w:rPr>
        <w:sectPr>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0"/>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5"/>
        <w:gridCol w:w="2505"/>
        <w:gridCol w:w="795"/>
        <w:gridCol w:w="1782"/>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0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79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782"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费率</w:t>
            </w:r>
          </w:p>
        </w:tc>
        <w:tc>
          <w:tcPr>
            <w:tcW w:w="122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ascii="宋体" w:hAnsi="宋体" w:cs="宋体"/>
                <w:color w:val="auto"/>
                <w:spacing w:val="-4"/>
                <w:szCs w:val="21"/>
                <w:highlight w:val="none"/>
              </w:rPr>
            </w:pPr>
          </w:p>
        </w:tc>
        <w:tc>
          <w:tcPr>
            <w:tcW w:w="1275" w:type="dxa"/>
            <w:vAlign w:val="center"/>
          </w:tcPr>
          <w:p>
            <w:pPr>
              <w:spacing w:line="360" w:lineRule="auto"/>
              <w:jc w:val="center"/>
              <w:rPr>
                <w:rFonts w:ascii="宋体" w:hAnsi="宋体" w:cs="宋体"/>
                <w:color w:val="auto"/>
                <w:szCs w:val="21"/>
                <w:highlight w:val="none"/>
              </w:rPr>
            </w:pPr>
          </w:p>
        </w:tc>
        <w:tc>
          <w:tcPr>
            <w:tcW w:w="2505" w:type="dxa"/>
            <w:vAlign w:val="center"/>
          </w:tcPr>
          <w:p>
            <w:pPr>
              <w:spacing w:line="360" w:lineRule="auto"/>
              <w:jc w:val="center"/>
              <w:rPr>
                <w:rFonts w:ascii="宋体" w:hAnsi="宋体" w:cs="宋体"/>
                <w:color w:val="auto"/>
                <w:szCs w:val="21"/>
                <w:highlight w:val="none"/>
              </w:rPr>
            </w:pPr>
          </w:p>
        </w:tc>
        <w:tc>
          <w:tcPr>
            <w:tcW w:w="795" w:type="dxa"/>
            <w:vAlign w:val="center"/>
          </w:tcPr>
          <w:p>
            <w:pPr>
              <w:spacing w:line="360" w:lineRule="auto"/>
              <w:jc w:val="center"/>
              <w:rPr>
                <w:rFonts w:ascii="宋体" w:hAnsi="宋体" w:cs="宋体"/>
                <w:color w:val="auto"/>
                <w:szCs w:val="21"/>
                <w:highlight w:val="none"/>
              </w:rPr>
            </w:pPr>
          </w:p>
        </w:tc>
        <w:tc>
          <w:tcPr>
            <w:tcW w:w="1782" w:type="dxa"/>
            <w:vAlign w:val="center"/>
          </w:tcPr>
          <w:p>
            <w:pPr>
              <w:spacing w:line="360" w:lineRule="auto"/>
              <w:jc w:val="center"/>
              <w:rPr>
                <w:rFonts w:ascii="宋体" w:hAnsi="宋体" w:cs="宋体"/>
                <w:color w:val="auto"/>
                <w:szCs w:val="21"/>
                <w:highlight w:val="none"/>
              </w:rPr>
            </w:pPr>
          </w:p>
        </w:tc>
        <w:tc>
          <w:tcPr>
            <w:tcW w:w="122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ascii="宋体" w:hAnsi="宋体" w:cs="宋体"/>
                <w:color w:val="auto"/>
                <w:spacing w:val="-4"/>
                <w:szCs w:val="21"/>
                <w:highlight w:val="none"/>
              </w:rPr>
            </w:pPr>
          </w:p>
        </w:tc>
        <w:tc>
          <w:tcPr>
            <w:tcW w:w="1275" w:type="dxa"/>
            <w:vAlign w:val="center"/>
          </w:tcPr>
          <w:p>
            <w:pPr>
              <w:spacing w:line="360" w:lineRule="auto"/>
              <w:jc w:val="center"/>
              <w:rPr>
                <w:rFonts w:ascii="宋体" w:hAnsi="宋体" w:cs="宋体"/>
                <w:color w:val="auto"/>
                <w:szCs w:val="21"/>
                <w:highlight w:val="none"/>
              </w:rPr>
            </w:pPr>
          </w:p>
        </w:tc>
        <w:tc>
          <w:tcPr>
            <w:tcW w:w="2505" w:type="dxa"/>
            <w:vAlign w:val="center"/>
          </w:tcPr>
          <w:p>
            <w:pPr>
              <w:spacing w:line="360" w:lineRule="auto"/>
              <w:jc w:val="center"/>
              <w:rPr>
                <w:rFonts w:ascii="宋体" w:hAnsi="宋体" w:cs="宋体"/>
                <w:color w:val="auto"/>
                <w:szCs w:val="21"/>
                <w:highlight w:val="none"/>
              </w:rPr>
            </w:pPr>
          </w:p>
        </w:tc>
        <w:tc>
          <w:tcPr>
            <w:tcW w:w="795" w:type="dxa"/>
            <w:vAlign w:val="center"/>
          </w:tcPr>
          <w:p>
            <w:pPr>
              <w:spacing w:line="360" w:lineRule="auto"/>
              <w:jc w:val="center"/>
              <w:rPr>
                <w:rFonts w:ascii="宋体" w:hAnsi="宋体" w:cs="宋体"/>
                <w:color w:val="auto"/>
                <w:szCs w:val="21"/>
                <w:highlight w:val="none"/>
              </w:rPr>
            </w:pPr>
          </w:p>
        </w:tc>
        <w:tc>
          <w:tcPr>
            <w:tcW w:w="1782" w:type="dxa"/>
            <w:vAlign w:val="center"/>
          </w:tcPr>
          <w:p>
            <w:pPr>
              <w:spacing w:line="360" w:lineRule="auto"/>
              <w:jc w:val="center"/>
              <w:rPr>
                <w:rFonts w:ascii="宋体" w:hAnsi="宋体" w:cs="宋体"/>
                <w:color w:val="auto"/>
                <w:szCs w:val="21"/>
                <w:highlight w:val="none"/>
              </w:rPr>
            </w:pPr>
          </w:p>
        </w:tc>
        <w:tc>
          <w:tcPr>
            <w:tcW w:w="122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ascii="宋体" w:hAnsi="宋体" w:cs="宋体"/>
                <w:color w:val="auto"/>
                <w:spacing w:val="-4"/>
                <w:szCs w:val="21"/>
                <w:highlight w:val="none"/>
              </w:rPr>
            </w:pPr>
          </w:p>
        </w:tc>
        <w:tc>
          <w:tcPr>
            <w:tcW w:w="1275" w:type="dxa"/>
            <w:vAlign w:val="center"/>
          </w:tcPr>
          <w:p>
            <w:pPr>
              <w:spacing w:line="360" w:lineRule="auto"/>
              <w:jc w:val="center"/>
              <w:rPr>
                <w:rFonts w:ascii="宋体" w:hAnsi="宋体" w:cs="宋体"/>
                <w:color w:val="auto"/>
                <w:szCs w:val="21"/>
                <w:highlight w:val="none"/>
              </w:rPr>
            </w:pPr>
          </w:p>
        </w:tc>
        <w:tc>
          <w:tcPr>
            <w:tcW w:w="2505" w:type="dxa"/>
            <w:vAlign w:val="center"/>
          </w:tcPr>
          <w:p>
            <w:pPr>
              <w:spacing w:line="360" w:lineRule="auto"/>
              <w:jc w:val="center"/>
              <w:rPr>
                <w:rFonts w:ascii="宋体" w:hAnsi="宋体" w:cs="宋体"/>
                <w:color w:val="auto"/>
                <w:szCs w:val="21"/>
                <w:highlight w:val="none"/>
              </w:rPr>
            </w:pPr>
          </w:p>
        </w:tc>
        <w:tc>
          <w:tcPr>
            <w:tcW w:w="795" w:type="dxa"/>
            <w:vAlign w:val="center"/>
          </w:tcPr>
          <w:p>
            <w:pPr>
              <w:spacing w:line="360" w:lineRule="auto"/>
              <w:jc w:val="center"/>
              <w:rPr>
                <w:rFonts w:ascii="宋体" w:hAnsi="宋体" w:cs="宋体"/>
                <w:color w:val="auto"/>
                <w:szCs w:val="21"/>
                <w:highlight w:val="none"/>
              </w:rPr>
            </w:pPr>
          </w:p>
        </w:tc>
        <w:tc>
          <w:tcPr>
            <w:tcW w:w="1782" w:type="dxa"/>
            <w:vAlign w:val="center"/>
          </w:tcPr>
          <w:p>
            <w:pPr>
              <w:spacing w:line="360" w:lineRule="auto"/>
              <w:jc w:val="center"/>
              <w:rPr>
                <w:rFonts w:ascii="宋体" w:hAnsi="宋体" w:cs="宋体"/>
                <w:color w:val="auto"/>
                <w:szCs w:val="21"/>
                <w:highlight w:val="none"/>
              </w:rPr>
            </w:pPr>
          </w:p>
        </w:tc>
        <w:tc>
          <w:tcPr>
            <w:tcW w:w="122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ascii="宋体" w:hAnsi="宋体" w:cs="宋体"/>
                <w:color w:val="auto"/>
                <w:spacing w:val="-4"/>
                <w:szCs w:val="21"/>
                <w:highlight w:val="none"/>
              </w:rPr>
            </w:pPr>
          </w:p>
        </w:tc>
        <w:tc>
          <w:tcPr>
            <w:tcW w:w="1275" w:type="dxa"/>
            <w:vAlign w:val="center"/>
          </w:tcPr>
          <w:p>
            <w:pPr>
              <w:spacing w:line="360" w:lineRule="auto"/>
              <w:jc w:val="center"/>
              <w:rPr>
                <w:rFonts w:ascii="宋体" w:hAnsi="宋体" w:cs="宋体"/>
                <w:color w:val="auto"/>
                <w:szCs w:val="21"/>
                <w:highlight w:val="none"/>
              </w:rPr>
            </w:pPr>
          </w:p>
        </w:tc>
        <w:tc>
          <w:tcPr>
            <w:tcW w:w="2505" w:type="dxa"/>
            <w:vAlign w:val="center"/>
          </w:tcPr>
          <w:p>
            <w:pPr>
              <w:spacing w:line="360" w:lineRule="auto"/>
              <w:jc w:val="center"/>
              <w:rPr>
                <w:rFonts w:ascii="宋体" w:hAnsi="宋体" w:cs="宋体"/>
                <w:color w:val="auto"/>
                <w:szCs w:val="21"/>
                <w:highlight w:val="none"/>
              </w:rPr>
            </w:pPr>
          </w:p>
        </w:tc>
        <w:tc>
          <w:tcPr>
            <w:tcW w:w="795" w:type="dxa"/>
            <w:vAlign w:val="center"/>
          </w:tcPr>
          <w:p>
            <w:pPr>
              <w:spacing w:line="360" w:lineRule="auto"/>
              <w:jc w:val="center"/>
              <w:rPr>
                <w:rFonts w:ascii="宋体" w:hAnsi="宋体" w:cs="宋体"/>
                <w:color w:val="auto"/>
                <w:szCs w:val="21"/>
                <w:highlight w:val="none"/>
              </w:rPr>
            </w:pPr>
          </w:p>
        </w:tc>
        <w:tc>
          <w:tcPr>
            <w:tcW w:w="1782" w:type="dxa"/>
            <w:vAlign w:val="center"/>
          </w:tcPr>
          <w:p>
            <w:pPr>
              <w:spacing w:line="360" w:lineRule="auto"/>
              <w:jc w:val="center"/>
              <w:rPr>
                <w:rFonts w:ascii="宋体" w:hAnsi="宋体" w:cs="宋体"/>
                <w:color w:val="auto"/>
                <w:szCs w:val="21"/>
                <w:highlight w:val="none"/>
              </w:rPr>
            </w:pPr>
          </w:p>
        </w:tc>
        <w:tc>
          <w:tcPr>
            <w:tcW w:w="122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ascii="宋体" w:hAnsi="宋体" w:cs="宋体"/>
                <w:color w:val="auto"/>
                <w:spacing w:val="-4"/>
                <w:szCs w:val="21"/>
                <w:highlight w:val="none"/>
              </w:rPr>
            </w:pPr>
          </w:p>
        </w:tc>
        <w:tc>
          <w:tcPr>
            <w:tcW w:w="1275" w:type="dxa"/>
            <w:vAlign w:val="center"/>
          </w:tcPr>
          <w:p>
            <w:pPr>
              <w:spacing w:line="360" w:lineRule="auto"/>
              <w:jc w:val="center"/>
              <w:rPr>
                <w:rFonts w:ascii="宋体" w:hAnsi="宋体" w:cs="宋体"/>
                <w:color w:val="auto"/>
                <w:szCs w:val="21"/>
                <w:highlight w:val="none"/>
              </w:rPr>
            </w:pPr>
          </w:p>
        </w:tc>
        <w:tc>
          <w:tcPr>
            <w:tcW w:w="2505" w:type="dxa"/>
            <w:vAlign w:val="center"/>
          </w:tcPr>
          <w:p>
            <w:pPr>
              <w:spacing w:line="360" w:lineRule="auto"/>
              <w:jc w:val="center"/>
              <w:rPr>
                <w:rFonts w:ascii="宋体" w:hAnsi="宋体" w:cs="宋体"/>
                <w:color w:val="auto"/>
                <w:szCs w:val="21"/>
                <w:highlight w:val="none"/>
              </w:rPr>
            </w:pPr>
          </w:p>
        </w:tc>
        <w:tc>
          <w:tcPr>
            <w:tcW w:w="795" w:type="dxa"/>
            <w:vAlign w:val="center"/>
          </w:tcPr>
          <w:p>
            <w:pPr>
              <w:spacing w:line="360" w:lineRule="auto"/>
              <w:jc w:val="center"/>
              <w:rPr>
                <w:rFonts w:ascii="宋体" w:hAnsi="宋体" w:cs="宋体"/>
                <w:color w:val="auto"/>
                <w:szCs w:val="21"/>
                <w:highlight w:val="none"/>
              </w:rPr>
            </w:pPr>
          </w:p>
        </w:tc>
        <w:tc>
          <w:tcPr>
            <w:tcW w:w="1782" w:type="dxa"/>
            <w:vAlign w:val="center"/>
          </w:tcPr>
          <w:p>
            <w:pPr>
              <w:spacing w:line="360" w:lineRule="auto"/>
              <w:jc w:val="center"/>
              <w:rPr>
                <w:rFonts w:ascii="宋体" w:hAnsi="宋体" w:cs="宋体"/>
                <w:color w:val="auto"/>
                <w:szCs w:val="21"/>
                <w:highlight w:val="none"/>
              </w:rPr>
            </w:pPr>
          </w:p>
        </w:tc>
        <w:tc>
          <w:tcPr>
            <w:tcW w:w="1228"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pPr>
              <w:spacing w:line="360" w:lineRule="auto"/>
              <w:jc w:val="center"/>
              <w:rPr>
                <w:rFonts w:hint="eastAsia" w:ascii="宋体" w:hAnsi="宋体" w:eastAsia="宋体" w:cs="宋体"/>
                <w:color w:val="auto"/>
                <w:spacing w:val="-4"/>
                <w:szCs w:val="21"/>
                <w:highlight w:val="none"/>
                <w:lang w:eastAsia="zh-CN"/>
              </w:rPr>
            </w:pPr>
            <w:r>
              <w:rPr>
                <w:rFonts w:hint="eastAsia" w:ascii="宋体" w:hAnsi="宋体" w:cs="宋体"/>
                <w:color w:val="auto"/>
                <w:spacing w:val="-4"/>
                <w:szCs w:val="21"/>
                <w:highlight w:val="none"/>
                <w:lang w:val="en-US" w:eastAsia="zh-CN"/>
              </w:rPr>
              <w:t>费率</w:t>
            </w:r>
          </w:p>
        </w:tc>
        <w:tc>
          <w:tcPr>
            <w:tcW w:w="7585" w:type="dxa"/>
            <w:gridSpan w:val="5"/>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小写：           </w:t>
            </w:r>
          </w:p>
        </w:tc>
      </w:tr>
    </w:tbl>
    <w:p>
      <w:pPr>
        <w:pStyle w:val="4"/>
        <w:ind w:firstLine="0"/>
        <w:rPr>
          <w:rFonts w:hAnsi="宋体" w:cs="宋体"/>
          <w:color w:val="auto"/>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pStyle w:val="30"/>
        <w:tabs>
          <w:tab w:val="left" w:pos="5580"/>
        </w:tabs>
        <w:spacing w:line="480" w:lineRule="auto"/>
        <w:ind w:firstLine="3600" w:firstLineChars="1500"/>
        <w:rPr>
          <w:rFonts w:hint="eastAsia" w:hAnsi="宋体" w:cs="宋体"/>
          <w:color w:val="auto"/>
          <w:highlight w:val="none"/>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pStyle w:val="74"/>
        <w:ind w:left="0" w:leftChars="0" w:firstLine="0" w:firstLineChars="0"/>
        <w:rPr>
          <w:rFonts w:ascii="宋体" w:cs="宋体"/>
          <w:b/>
          <w:bCs/>
          <w:color w:val="auto"/>
          <w:sz w:val="24"/>
          <w:highlight w:val="none"/>
        </w:rPr>
      </w:pPr>
    </w:p>
    <w:bookmarkEnd w:id="250"/>
    <w:p>
      <w:pPr>
        <w:pStyle w:val="8"/>
        <w:numPr>
          <w:ilvl w:val="0"/>
          <w:numId w:val="0"/>
        </w:numPr>
        <w:shd w:val="clear" w:color="auto" w:fill="FFFFFF"/>
        <w:jc w:val="center"/>
        <w:rPr>
          <w:rFonts w:hint="eastAsia" w:cs="宋体"/>
          <w:color w:val="auto"/>
          <w:sz w:val="28"/>
          <w:szCs w:val="28"/>
          <w:highlight w:val="none"/>
          <w:lang w:val="en-US" w:eastAsia="zh-CN"/>
        </w:rPr>
      </w:pPr>
      <w:bookmarkStart w:id="252" w:name="_Toc32647"/>
      <w:bookmarkStart w:id="253" w:name="_Toc28153"/>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磋商</w:t>
      </w:r>
      <w:r>
        <w:rPr>
          <w:rFonts w:hint="eastAsia" w:cs="宋体"/>
          <w:color w:val="auto"/>
          <w:sz w:val="28"/>
          <w:szCs w:val="28"/>
          <w:highlight w:val="none"/>
          <w:lang w:val="en-US" w:eastAsia="zh-CN"/>
        </w:rPr>
        <w:t>响应表</w:t>
      </w:r>
      <w:bookmarkEnd w:id="252"/>
      <w:bookmarkEnd w:id="253"/>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pPr>
              <w:pStyle w:val="3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c>
          <w:tcPr>
            <w:tcW w:w="2347"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pPr>
              <w:pStyle w:val="3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pPr>
              <w:jc w:val="center"/>
              <w:rPr>
                <w:rFonts w:asciiTheme="minorEastAsia" w:hAnsiTheme="minorEastAsia" w:eastAsiaTheme="minorEastAsia"/>
                <w:color w:val="auto"/>
                <w:sz w:val="24"/>
                <w:highlight w:val="none"/>
              </w:rPr>
            </w:pPr>
          </w:p>
        </w:tc>
        <w:tc>
          <w:tcPr>
            <w:tcW w:w="2347" w:type="dxa"/>
            <w:vAlign w:val="center"/>
          </w:tcPr>
          <w:p>
            <w:pPr>
              <w:jc w:val="center"/>
              <w:rPr>
                <w:rFonts w:asciiTheme="minorEastAsia" w:hAnsiTheme="minorEastAsia" w:eastAsiaTheme="minorEastAsia"/>
                <w:color w:val="auto"/>
                <w:sz w:val="24"/>
                <w:highlight w:val="none"/>
              </w:rPr>
            </w:pPr>
          </w:p>
        </w:tc>
        <w:tc>
          <w:tcPr>
            <w:tcW w:w="1235"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供货及安装地点</w:t>
            </w:r>
          </w:p>
        </w:tc>
        <w:tc>
          <w:tcPr>
            <w:tcW w:w="2215" w:type="dxa"/>
            <w:vAlign w:val="center"/>
          </w:tcPr>
          <w:p>
            <w:pPr>
              <w:jc w:val="center"/>
              <w:rPr>
                <w:rFonts w:asciiTheme="minorEastAsia" w:hAnsiTheme="minorEastAsia" w:eastAsiaTheme="minorEastAsia"/>
                <w:color w:val="auto"/>
                <w:sz w:val="24"/>
                <w:highlight w:val="none"/>
              </w:rPr>
            </w:pPr>
          </w:p>
        </w:tc>
        <w:tc>
          <w:tcPr>
            <w:tcW w:w="2347" w:type="dxa"/>
            <w:vAlign w:val="center"/>
          </w:tcPr>
          <w:p>
            <w:pPr>
              <w:jc w:val="center"/>
              <w:rPr>
                <w:rFonts w:asciiTheme="minorEastAsia" w:hAnsiTheme="minorEastAsia" w:eastAsiaTheme="minorEastAsia"/>
                <w:color w:val="auto"/>
                <w:sz w:val="24"/>
                <w:highlight w:val="none"/>
              </w:rPr>
            </w:pPr>
          </w:p>
        </w:tc>
        <w:tc>
          <w:tcPr>
            <w:tcW w:w="1235"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供货及安装期限</w:t>
            </w:r>
          </w:p>
        </w:tc>
        <w:tc>
          <w:tcPr>
            <w:tcW w:w="2215" w:type="dxa"/>
            <w:vAlign w:val="center"/>
          </w:tcPr>
          <w:p>
            <w:pPr>
              <w:jc w:val="center"/>
              <w:rPr>
                <w:rFonts w:asciiTheme="minorEastAsia" w:hAnsiTheme="minorEastAsia" w:eastAsiaTheme="minorEastAsia"/>
                <w:color w:val="auto"/>
                <w:sz w:val="24"/>
                <w:highlight w:val="none"/>
              </w:rPr>
            </w:pPr>
          </w:p>
        </w:tc>
        <w:tc>
          <w:tcPr>
            <w:tcW w:w="2347" w:type="dxa"/>
            <w:vAlign w:val="center"/>
          </w:tcPr>
          <w:p>
            <w:pPr>
              <w:pStyle w:val="418"/>
              <w:jc w:val="center"/>
              <w:rPr>
                <w:rFonts w:asciiTheme="minorEastAsia" w:hAnsiTheme="minorEastAsia" w:eastAsiaTheme="minorEastAsia"/>
                <w:color w:val="auto"/>
                <w:highlight w:val="none"/>
              </w:rPr>
            </w:pPr>
          </w:p>
        </w:tc>
        <w:tc>
          <w:tcPr>
            <w:tcW w:w="1235"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pPr>
              <w:jc w:val="center"/>
              <w:rPr>
                <w:rFonts w:asciiTheme="minorEastAsia" w:hAnsiTheme="minorEastAsia" w:eastAsiaTheme="minorEastAsia"/>
                <w:color w:val="auto"/>
                <w:sz w:val="24"/>
                <w:highlight w:val="none"/>
              </w:rPr>
            </w:pPr>
          </w:p>
        </w:tc>
        <w:tc>
          <w:tcPr>
            <w:tcW w:w="2347" w:type="dxa"/>
            <w:vAlign w:val="center"/>
          </w:tcPr>
          <w:p>
            <w:pPr>
              <w:jc w:val="center"/>
              <w:rPr>
                <w:rFonts w:asciiTheme="minorEastAsia" w:hAnsiTheme="minorEastAsia" w:eastAsiaTheme="minorEastAsia"/>
                <w:color w:val="auto"/>
                <w:sz w:val="24"/>
                <w:highlight w:val="none"/>
              </w:rPr>
            </w:pPr>
          </w:p>
        </w:tc>
        <w:tc>
          <w:tcPr>
            <w:tcW w:w="1235"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5</w:t>
            </w:r>
          </w:p>
        </w:tc>
        <w:tc>
          <w:tcPr>
            <w:tcW w:w="1927" w:type="dxa"/>
            <w:vAlign w:val="center"/>
          </w:tcPr>
          <w:p>
            <w:pPr>
              <w:jc w:val="center"/>
              <w:rPr>
                <w:rFonts w:hint="eastAsia" w:ascii="宋体" w:hAnsi="宋体" w:eastAsia="宋体" w:cs="Times New Roman"/>
                <w:color w:val="auto"/>
                <w:kern w:val="2"/>
                <w:sz w:val="24"/>
                <w:highlight w:val="none"/>
                <w:lang w:val="en-US" w:eastAsia="zh-CN" w:bidi="ar-SA"/>
              </w:rPr>
            </w:pPr>
            <w:r>
              <w:rPr>
                <w:rFonts w:ascii="sans-serif" w:hAnsi="sans-serif" w:eastAsia="sans-serif" w:cs="sans-serif"/>
                <w:color w:val="auto"/>
                <w:sz w:val="24"/>
                <w:szCs w:val="24"/>
                <w:highlight w:val="none"/>
              </w:rPr>
              <w:t>商品包装要求</w:t>
            </w:r>
          </w:p>
        </w:tc>
        <w:tc>
          <w:tcPr>
            <w:tcW w:w="2215" w:type="dxa"/>
            <w:vAlign w:val="center"/>
          </w:tcPr>
          <w:p>
            <w:pPr>
              <w:jc w:val="center"/>
              <w:rPr>
                <w:rFonts w:asciiTheme="minorEastAsia" w:hAnsiTheme="minorEastAsia" w:eastAsiaTheme="minorEastAsia"/>
                <w:color w:val="auto"/>
                <w:sz w:val="24"/>
                <w:highlight w:val="none"/>
              </w:rPr>
            </w:pPr>
          </w:p>
        </w:tc>
        <w:tc>
          <w:tcPr>
            <w:tcW w:w="2347" w:type="dxa"/>
            <w:vAlign w:val="center"/>
          </w:tcPr>
          <w:p>
            <w:pPr>
              <w:jc w:val="center"/>
              <w:rPr>
                <w:rFonts w:asciiTheme="minorEastAsia" w:hAnsiTheme="minorEastAsia" w:eastAsiaTheme="minorEastAsia"/>
                <w:color w:val="auto"/>
                <w:sz w:val="24"/>
                <w:highlight w:val="none"/>
              </w:rPr>
            </w:pPr>
          </w:p>
        </w:tc>
        <w:tc>
          <w:tcPr>
            <w:tcW w:w="1235" w:type="dxa"/>
            <w:vAlign w:val="center"/>
          </w:tcPr>
          <w:p>
            <w:pPr>
              <w:jc w:val="center"/>
              <w:rPr>
                <w:rFonts w:asciiTheme="minorEastAsia" w:hAnsiTheme="minorEastAsia" w:eastAsiaTheme="minorEastAsia"/>
                <w:color w:val="auto"/>
                <w:sz w:val="24"/>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60"/>
        <w:tblpPr w:leftFromText="180" w:rightFromText="180" w:vertAnchor="text" w:horzAnchor="page" w:tblpX="1779" w:tblpY="533"/>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pPr>
              <w:spacing w:line="360" w:lineRule="auto"/>
              <w:jc w:val="center"/>
              <w:rPr>
                <w:rFonts w:ascii="宋体" w:hAnsi="宋体"/>
                <w:color w:val="auto"/>
                <w:spacing w:val="-4"/>
                <w:szCs w:val="21"/>
                <w:highlight w:val="none"/>
              </w:rPr>
            </w:pPr>
          </w:p>
        </w:tc>
        <w:tc>
          <w:tcPr>
            <w:tcW w:w="1243" w:type="dxa"/>
            <w:vAlign w:val="center"/>
          </w:tcPr>
          <w:p>
            <w:pPr>
              <w:spacing w:line="360" w:lineRule="auto"/>
              <w:jc w:val="center"/>
              <w:rPr>
                <w:rFonts w:ascii="宋体" w:hAnsi="宋体"/>
                <w:color w:val="auto"/>
                <w:szCs w:val="21"/>
                <w:highlight w:val="none"/>
              </w:rPr>
            </w:pPr>
          </w:p>
        </w:tc>
        <w:tc>
          <w:tcPr>
            <w:tcW w:w="1770" w:type="dxa"/>
          </w:tcPr>
          <w:p>
            <w:pPr>
              <w:spacing w:line="360" w:lineRule="auto"/>
              <w:jc w:val="center"/>
              <w:rPr>
                <w:rFonts w:ascii="宋体" w:hAnsi="宋体"/>
                <w:b/>
                <w:color w:val="auto"/>
                <w:szCs w:val="21"/>
                <w:highlight w:val="none"/>
              </w:rPr>
            </w:pPr>
          </w:p>
        </w:tc>
        <w:tc>
          <w:tcPr>
            <w:tcW w:w="1843" w:type="dxa"/>
            <w:vAlign w:val="center"/>
          </w:tcPr>
          <w:p>
            <w:pPr>
              <w:spacing w:line="360" w:lineRule="auto"/>
              <w:jc w:val="center"/>
              <w:rPr>
                <w:rFonts w:ascii="宋体" w:hAnsi="宋体"/>
                <w:b/>
                <w:color w:val="auto"/>
                <w:szCs w:val="21"/>
                <w:highlight w:val="none"/>
              </w:rPr>
            </w:pPr>
          </w:p>
        </w:tc>
        <w:tc>
          <w:tcPr>
            <w:tcW w:w="1603" w:type="dxa"/>
            <w:vAlign w:val="center"/>
          </w:tcPr>
          <w:p>
            <w:pPr>
              <w:spacing w:line="360" w:lineRule="auto"/>
              <w:jc w:val="center"/>
              <w:rPr>
                <w:rFonts w:ascii="宋体" w:hAnsi="宋体"/>
                <w:b/>
                <w:color w:val="auto"/>
                <w:szCs w:val="21"/>
                <w:highlight w:val="none"/>
              </w:rPr>
            </w:pPr>
          </w:p>
        </w:tc>
        <w:tc>
          <w:tcPr>
            <w:tcW w:w="1293" w:type="dxa"/>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pPr>
              <w:spacing w:line="360" w:lineRule="auto"/>
              <w:jc w:val="center"/>
              <w:rPr>
                <w:rFonts w:ascii="宋体" w:hAnsi="宋体"/>
                <w:color w:val="auto"/>
                <w:spacing w:val="-4"/>
                <w:szCs w:val="21"/>
                <w:highlight w:val="none"/>
              </w:rPr>
            </w:pPr>
          </w:p>
        </w:tc>
        <w:tc>
          <w:tcPr>
            <w:tcW w:w="1243" w:type="dxa"/>
            <w:vAlign w:val="center"/>
          </w:tcPr>
          <w:p>
            <w:pPr>
              <w:spacing w:line="360" w:lineRule="auto"/>
              <w:jc w:val="center"/>
              <w:rPr>
                <w:rFonts w:ascii="宋体" w:hAnsi="宋体"/>
                <w:color w:val="auto"/>
                <w:szCs w:val="21"/>
                <w:highlight w:val="none"/>
              </w:rPr>
            </w:pPr>
          </w:p>
        </w:tc>
        <w:tc>
          <w:tcPr>
            <w:tcW w:w="1770" w:type="dxa"/>
          </w:tcPr>
          <w:p>
            <w:pPr>
              <w:spacing w:line="360" w:lineRule="auto"/>
              <w:jc w:val="center"/>
              <w:rPr>
                <w:rFonts w:ascii="宋体" w:hAnsi="宋体"/>
                <w:b/>
                <w:color w:val="auto"/>
                <w:szCs w:val="21"/>
                <w:highlight w:val="none"/>
              </w:rPr>
            </w:pPr>
          </w:p>
        </w:tc>
        <w:tc>
          <w:tcPr>
            <w:tcW w:w="1843" w:type="dxa"/>
            <w:vAlign w:val="center"/>
          </w:tcPr>
          <w:p>
            <w:pPr>
              <w:spacing w:line="360" w:lineRule="auto"/>
              <w:jc w:val="center"/>
              <w:rPr>
                <w:rFonts w:ascii="宋体" w:hAnsi="宋体"/>
                <w:b/>
                <w:color w:val="auto"/>
                <w:szCs w:val="21"/>
                <w:highlight w:val="none"/>
              </w:rPr>
            </w:pPr>
          </w:p>
        </w:tc>
        <w:tc>
          <w:tcPr>
            <w:tcW w:w="1603" w:type="dxa"/>
            <w:vAlign w:val="center"/>
          </w:tcPr>
          <w:p>
            <w:pPr>
              <w:spacing w:line="360" w:lineRule="auto"/>
              <w:jc w:val="center"/>
              <w:rPr>
                <w:rFonts w:ascii="宋体" w:hAnsi="宋体"/>
                <w:b/>
                <w:color w:val="auto"/>
                <w:szCs w:val="21"/>
                <w:highlight w:val="none"/>
              </w:rPr>
            </w:pPr>
          </w:p>
        </w:tc>
        <w:tc>
          <w:tcPr>
            <w:tcW w:w="1293" w:type="dxa"/>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pPr>
              <w:spacing w:line="360" w:lineRule="auto"/>
              <w:jc w:val="center"/>
              <w:rPr>
                <w:rFonts w:ascii="宋体" w:hAnsi="宋体"/>
                <w:color w:val="auto"/>
                <w:spacing w:val="-4"/>
                <w:szCs w:val="21"/>
                <w:highlight w:val="none"/>
              </w:rPr>
            </w:pPr>
          </w:p>
        </w:tc>
        <w:tc>
          <w:tcPr>
            <w:tcW w:w="1243" w:type="dxa"/>
            <w:vAlign w:val="center"/>
          </w:tcPr>
          <w:p>
            <w:pPr>
              <w:spacing w:line="360" w:lineRule="auto"/>
              <w:jc w:val="center"/>
              <w:rPr>
                <w:rFonts w:ascii="宋体" w:hAnsi="宋体"/>
                <w:color w:val="auto"/>
                <w:szCs w:val="21"/>
                <w:highlight w:val="none"/>
              </w:rPr>
            </w:pPr>
          </w:p>
        </w:tc>
        <w:tc>
          <w:tcPr>
            <w:tcW w:w="1770" w:type="dxa"/>
          </w:tcPr>
          <w:p>
            <w:pPr>
              <w:spacing w:line="360" w:lineRule="auto"/>
              <w:jc w:val="center"/>
              <w:rPr>
                <w:rFonts w:ascii="宋体" w:hAnsi="宋体"/>
                <w:b/>
                <w:color w:val="auto"/>
                <w:szCs w:val="21"/>
                <w:highlight w:val="none"/>
              </w:rPr>
            </w:pPr>
          </w:p>
        </w:tc>
        <w:tc>
          <w:tcPr>
            <w:tcW w:w="1843" w:type="dxa"/>
            <w:vAlign w:val="center"/>
          </w:tcPr>
          <w:p>
            <w:pPr>
              <w:spacing w:line="360" w:lineRule="auto"/>
              <w:jc w:val="center"/>
              <w:rPr>
                <w:rFonts w:ascii="宋体" w:hAnsi="宋体"/>
                <w:b/>
                <w:color w:val="auto"/>
                <w:szCs w:val="21"/>
                <w:highlight w:val="none"/>
              </w:rPr>
            </w:pPr>
          </w:p>
        </w:tc>
        <w:tc>
          <w:tcPr>
            <w:tcW w:w="1603" w:type="dxa"/>
            <w:vAlign w:val="center"/>
          </w:tcPr>
          <w:p>
            <w:pPr>
              <w:spacing w:line="360" w:lineRule="auto"/>
              <w:jc w:val="center"/>
              <w:rPr>
                <w:rFonts w:ascii="宋体" w:hAnsi="宋体"/>
                <w:b/>
                <w:color w:val="auto"/>
                <w:szCs w:val="21"/>
                <w:highlight w:val="none"/>
              </w:rPr>
            </w:pPr>
          </w:p>
        </w:tc>
        <w:tc>
          <w:tcPr>
            <w:tcW w:w="1293" w:type="dxa"/>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pPr>
              <w:spacing w:line="360" w:lineRule="auto"/>
              <w:jc w:val="center"/>
              <w:rPr>
                <w:rFonts w:ascii="宋体" w:hAnsi="宋体"/>
                <w:color w:val="auto"/>
                <w:spacing w:val="-4"/>
                <w:szCs w:val="21"/>
                <w:highlight w:val="none"/>
              </w:rPr>
            </w:pPr>
          </w:p>
        </w:tc>
        <w:tc>
          <w:tcPr>
            <w:tcW w:w="1243" w:type="dxa"/>
            <w:vAlign w:val="center"/>
          </w:tcPr>
          <w:p>
            <w:pPr>
              <w:spacing w:line="360" w:lineRule="auto"/>
              <w:jc w:val="center"/>
              <w:rPr>
                <w:rFonts w:ascii="宋体" w:hAnsi="宋体"/>
                <w:color w:val="auto"/>
                <w:szCs w:val="21"/>
                <w:highlight w:val="none"/>
              </w:rPr>
            </w:pPr>
          </w:p>
        </w:tc>
        <w:tc>
          <w:tcPr>
            <w:tcW w:w="1770" w:type="dxa"/>
          </w:tcPr>
          <w:p>
            <w:pPr>
              <w:spacing w:line="360" w:lineRule="auto"/>
              <w:jc w:val="center"/>
              <w:rPr>
                <w:rFonts w:ascii="宋体" w:hAnsi="宋体"/>
                <w:b/>
                <w:color w:val="auto"/>
                <w:szCs w:val="21"/>
                <w:highlight w:val="none"/>
              </w:rPr>
            </w:pPr>
          </w:p>
        </w:tc>
        <w:tc>
          <w:tcPr>
            <w:tcW w:w="1843" w:type="dxa"/>
            <w:vAlign w:val="center"/>
          </w:tcPr>
          <w:p>
            <w:pPr>
              <w:spacing w:line="360" w:lineRule="auto"/>
              <w:jc w:val="center"/>
              <w:rPr>
                <w:rFonts w:ascii="宋体" w:hAnsi="宋体"/>
                <w:b/>
                <w:color w:val="auto"/>
                <w:szCs w:val="21"/>
                <w:highlight w:val="none"/>
              </w:rPr>
            </w:pPr>
          </w:p>
        </w:tc>
        <w:tc>
          <w:tcPr>
            <w:tcW w:w="1603" w:type="dxa"/>
            <w:vAlign w:val="center"/>
          </w:tcPr>
          <w:p>
            <w:pPr>
              <w:spacing w:line="360" w:lineRule="auto"/>
              <w:jc w:val="center"/>
              <w:rPr>
                <w:rFonts w:ascii="宋体" w:hAnsi="宋体"/>
                <w:b/>
                <w:color w:val="auto"/>
                <w:szCs w:val="21"/>
                <w:highlight w:val="none"/>
              </w:rPr>
            </w:pPr>
          </w:p>
        </w:tc>
        <w:tc>
          <w:tcPr>
            <w:tcW w:w="1293" w:type="dxa"/>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pPr>
              <w:spacing w:line="360" w:lineRule="auto"/>
              <w:jc w:val="center"/>
              <w:rPr>
                <w:rFonts w:ascii="宋体" w:hAnsi="宋体"/>
                <w:color w:val="auto"/>
                <w:spacing w:val="-4"/>
                <w:szCs w:val="21"/>
                <w:highlight w:val="none"/>
              </w:rPr>
            </w:pPr>
          </w:p>
        </w:tc>
        <w:tc>
          <w:tcPr>
            <w:tcW w:w="1243" w:type="dxa"/>
            <w:vAlign w:val="center"/>
          </w:tcPr>
          <w:p>
            <w:pPr>
              <w:spacing w:line="360" w:lineRule="auto"/>
              <w:jc w:val="center"/>
              <w:rPr>
                <w:rFonts w:ascii="宋体" w:hAnsi="宋体"/>
                <w:color w:val="auto"/>
                <w:szCs w:val="21"/>
                <w:highlight w:val="none"/>
              </w:rPr>
            </w:pPr>
          </w:p>
        </w:tc>
        <w:tc>
          <w:tcPr>
            <w:tcW w:w="1770" w:type="dxa"/>
          </w:tcPr>
          <w:p>
            <w:pPr>
              <w:spacing w:line="360" w:lineRule="auto"/>
              <w:jc w:val="center"/>
              <w:rPr>
                <w:rFonts w:ascii="宋体" w:hAnsi="宋体"/>
                <w:b/>
                <w:color w:val="auto"/>
                <w:szCs w:val="21"/>
                <w:highlight w:val="none"/>
              </w:rPr>
            </w:pPr>
          </w:p>
        </w:tc>
        <w:tc>
          <w:tcPr>
            <w:tcW w:w="1843" w:type="dxa"/>
            <w:vAlign w:val="center"/>
          </w:tcPr>
          <w:p>
            <w:pPr>
              <w:spacing w:line="360" w:lineRule="auto"/>
              <w:jc w:val="center"/>
              <w:rPr>
                <w:rFonts w:ascii="宋体" w:hAnsi="宋体"/>
                <w:b/>
                <w:color w:val="auto"/>
                <w:szCs w:val="21"/>
                <w:highlight w:val="none"/>
              </w:rPr>
            </w:pPr>
          </w:p>
        </w:tc>
        <w:tc>
          <w:tcPr>
            <w:tcW w:w="1603" w:type="dxa"/>
            <w:vAlign w:val="center"/>
          </w:tcPr>
          <w:p>
            <w:pPr>
              <w:spacing w:line="360" w:lineRule="auto"/>
              <w:jc w:val="center"/>
              <w:rPr>
                <w:rFonts w:ascii="宋体" w:hAnsi="宋体"/>
                <w:b/>
                <w:color w:val="auto"/>
                <w:szCs w:val="21"/>
                <w:highlight w:val="none"/>
              </w:rPr>
            </w:pPr>
          </w:p>
        </w:tc>
        <w:tc>
          <w:tcPr>
            <w:tcW w:w="1293" w:type="dxa"/>
            <w:vAlign w:val="center"/>
          </w:tcPr>
          <w:p>
            <w:pPr>
              <w:spacing w:line="360" w:lineRule="auto"/>
              <w:jc w:val="center"/>
              <w:rPr>
                <w:rFonts w:ascii="宋体" w:hAnsi="宋体"/>
                <w:b/>
                <w:color w:val="auto"/>
                <w:szCs w:val="21"/>
                <w:highlight w:val="none"/>
              </w:rPr>
            </w:pPr>
          </w:p>
        </w:tc>
      </w:tr>
    </w:tbl>
    <w:p>
      <w:pPr>
        <w:tabs>
          <w:tab w:val="left" w:pos="1815"/>
        </w:tabs>
        <w:spacing w:line="360" w:lineRule="auto"/>
        <w:ind w:left="1" w:firstLine="417" w:firstLineChars="199"/>
        <w:rPr>
          <w:rFonts w:ascii="宋体" w:hAnsi="宋体" w:cs="Arial"/>
          <w:color w:val="auto"/>
          <w:szCs w:val="21"/>
          <w:highlight w:val="none"/>
        </w:rPr>
      </w:pPr>
    </w:p>
    <w:p>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s="Arial"/>
          <w:color w:val="auto"/>
          <w:szCs w:val="21"/>
          <w:highlight w:val="none"/>
          <w:lang w:eastAsia="zh-CN"/>
        </w:rPr>
        <w:t>采购</w:t>
      </w:r>
      <w:r>
        <w:rPr>
          <w:rFonts w:hint="eastAsia" w:ascii="宋体" w:hAnsi="宋体"/>
          <w:color w:val="auto"/>
          <w:szCs w:val="21"/>
          <w:highlight w:val="none"/>
        </w:rPr>
        <w:t>技术参数</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pPr>
        <w:tabs>
          <w:tab w:val="left" w:pos="1815"/>
        </w:tabs>
        <w:spacing w:line="360" w:lineRule="auto"/>
        <w:ind w:left="1" w:firstLine="417" w:firstLineChars="199"/>
        <w:rPr>
          <w:color w:val="auto"/>
          <w:highlight w:val="none"/>
        </w:rPr>
      </w:pPr>
      <w:r>
        <w:rPr>
          <w:rFonts w:hint="eastAsia" w:ascii="宋体" w:hAnsi="宋体" w:cs="Arial"/>
          <w:color w:val="auto"/>
          <w:szCs w:val="21"/>
          <w:highlight w:val="none"/>
        </w:rPr>
        <w:t>3、</w:t>
      </w:r>
      <w:r>
        <w:rPr>
          <w:rFonts w:hint="eastAsia" w:ascii="宋体" w:hAnsi="宋体" w:cs="Arial"/>
          <w:b/>
          <w:color w:val="auto"/>
          <w:szCs w:val="21"/>
          <w:highlight w:val="none"/>
        </w:rPr>
        <w:t>若</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所投货物为进口产品的，必须在表中明确列出所投进口产品的原产地。</w:t>
      </w:r>
    </w:p>
    <w:p>
      <w:pPr>
        <w:spacing w:line="360" w:lineRule="auto"/>
        <w:ind w:firstLine="3561" w:firstLineChars="1696"/>
        <w:rPr>
          <w:rFonts w:ascii="宋体" w:hAnsi="宋体"/>
          <w:color w:val="auto"/>
          <w:szCs w:val="21"/>
          <w:highlight w:val="none"/>
        </w:rPr>
      </w:pPr>
    </w:p>
    <w:p>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pStyle w:val="30"/>
        <w:tabs>
          <w:tab w:val="left" w:pos="5580"/>
        </w:tabs>
        <w:spacing w:line="480" w:lineRule="auto"/>
        <w:ind w:firstLine="3600" w:firstLineChars="1500"/>
        <w:rPr>
          <w:rFonts w:hint="eastAsia" w:hAnsi="宋体" w:cs="宋体"/>
          <w:color w:val="auto"/>
          <w:highlight w:val="none"/>
        </w:rPr>
        <w:sectPr>
          <w:footerReference r:id="rId9" w:type="default"/>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pStyle w:val="74"/>
        <w:ind w:left="0" w:leftChars="0" w:firstLine="0" w:firstLineChars="0"/>
        <w:rPr>
          <w:color w:val="auto"/>
          <w:highlight w:val="none"/>
        </w:rPr>
      </w:pPr>
    </w:p>
    <w:bookmarkEnd w:id="251"/>
    <w:p>
      <w:pPr>
        <w:pStyle w:val="8"/>
        <w:numPr>
          <w:ilvl w:val="0"/>
          <w:numId w:val="9"/>
        </w:numPr>
        <w:jc w:val="center"/>
        <w:rPr>
          <w:rFonts w:cs="宋体"/>
          <w:color w:val="auto"/>
          <w:sz w:val="28"/>
          <w:szCs w:val="28"/>
          <w:highlight w:val="none"/>
        </w:rPr>
      </w:pPr>
      <w:bookmarkStart w:id="254" w:name="_Toc54941345"/>
      <w:bookmarkStart w:id="255" w:name="_Toc15038"/>
      <w:bookmarkStart w:id="256" w:name="_Toc476584436"/>
      <w:r>
        <w:rPr>
          <w:rFonts w:hint="eastAsia" w:cs="宋体"/>
          <w:color w:val="auto"/>
          <w:sz w:val="28"/>
          <w:szCs w:val="28"/>
          <w:highlight w:val="none"/>
        </w:rPr>
        <w:t>最后报价表</w:t>
      </w:r>
      <w:bookmarkEnd w:id="254"/>
    </w:p>
    <w:p>
      <w:pPr>
        <w:pStyle w:val="4"/>
        <w:rPr>
          <w:color w:val="auto"/>
          <w:highlight w:val="none"/>
        </w:rPr>
      </w:pPr>
    </w:p>
    <w:p>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pPr>
        <w:spacing w:line="360" w:lineRule="auto"/>
        <w:ind w:firstLine="6090" w:firstLineChars="2900"/>
        <w:rPr>
          <w:rFonts w:ascii="宋体"/>
          <w:color w:val="auto"/>
          <w:highlight w:val="none"/>
        </w:rPr>
      </w:pPr>
    </w:p>
    <w:tbl>
      <w:tblPr>
        <w:tblStyle w:val="60"/>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809" w:type="dxa"/>
            <w:vMerge w:val="restart"/>
            <w:vAlign w:val="center"/>
          </w:tcPr>
          <w:p>
            <w:pPr>
              <w:spacing w:line="400" w:lineRule="exact"/>
              <w:jc w:val="center"/>
              <w:rPr>
                <w:rFonts w:hint="eastAsia" w:eastAsia="宋体"/>
                <w:color w:val="auto"/>
                <w:sz w:val="24"/>
                <w:highlight w:val="none"/>
                <w:lang w:val="en-US" w:eastAsia="zh-CN"/>
              </w:rPr>
            </w:pPr>
            <w:r>
              <w:rPr>
                <w:rFonts w:hint="eastAsia" w:hAnsi="宋体"/>
                <w:color w:val="auto"/>
                <w:sz w:val="24"/>
                <w:highlight w:val="none"/>
              </w:rPr>
              <w:t>最后报价</w:t>
            </w:r>
            <w:r>
              <w:rPr>
                <w:rFonts w:hint="eastAsia" w:hAnsi="宋体"/>
                <w:color w:val="auto"/>
                <w:sz w:val="24"/>
                <w:highlight w:val="none"/>
                <w:lang w:val="en-US" w:eastAsia="zh-CN"/>
              </w:rPr>
              <w:t>费率</w:t>
            </w:r>
          </w:p>
        </w:tc>
        <w:tc>
          <w:tcPr>
            <w:tcW w:w="6743" w:type="dxa"/>
            <w:vAlign w:val="center"/>
          </w:tcPr>
          <w:p>
            <w:pPr>
              <w:wordWrap w:val="0"/>
              <w:spacing w:line="400" w:lineRule="exact"/>
              <w:rPr>
                <w:color w:val="auto"/>
                <w:sz w:val="24"/>
                <w:highlight w:val="none"/>
              </w:rPr>
            </w:pPr>
            <w:r>
              <w:rPr>
                <w:rFonts w:hint="eastAsia" w:hAnsi="宋体"/>
                <w:color w:val="auto"/>
                <w:sz w:val="24"/>
                <w:highlight w:val="none"/>
              </w:rPr>
              <w:t>大写：</w:t>
            </w:r>
            <w:r>
              <w:rPr>
                <w:color w:val="auto"/>
                <w:sz w:val="24"/>
                <w:highlight w:val="none"/>
              </w:rPr>
              <w:t xml:space="preserve"> </w:t>
            </w:r>
          </w:p>
          <w:p>
            <w:pPr>
              <w:wordWrap w:val="0"/>
              <w:spacing w:line="400" w:lineRule="exact"/>
              <w:rPr>
                <w:color w:val="auto"/>
                <w:sz w:val="24"/>
                <w:highlight w:val="none"/>
              </w:rPr>
            </w:pPr>
            <w:r>
              <w:rPr>
                <w:rFonts w:hint="eastAsia" w:ascii="宋体" w:hAnsi="宋体"/>
                <w:b w:val="0"/>
                <w:bCs/>
                <w:color w:val="auto"/>
                <w:sz w:val="21"/>
                <w:szCs w:val="21"/>
                <w:highlight w:val="none"/>
                <w:lang w:val="en-US" w:eastAsia="zh-CN"/>
              </w:rPr>
              <w:t>注：</w:t>
            </w:r>
            <w:r>
              <w:rPr>
                <w:rFonts w:hint="eastAsia" w:ascii="宋体" w:hAnsi="宋体"/>
                <w:b w:val="0"/>
                <w:bCs/>
                <w:i/>
                <w:iCs/>
                <w:color w:val="auto"/>
                <w:sz w:val="21"/>
                <w:szCs w:val="21"/>
                <w:highlight w:val="none"/>
              </w:rPr>
              <w:t>此表请各供应商准备好，以便在磋商时报价使用（此表须加盖供应商公章，由供应商</w:t>
            </w:r>
            <w:r>
              <w:rPr>
                <w:rFonts w:hint="eastAsia" w:ascii="宋体" w:hAnsi="宋体" w:cs="宋体"/>
                <w:b w:val="0"/>
                <w:bCs/>
                <w:i/>
                <w:iCs/>
                <w:color w:val="auto"/>
                <w:sz w:val="21"/>
                <w:szCs w:val="21"/>
                <w:highlight w:val="none"/>
              </w:rPr>
              <w:t>通过电子</w:t>
            </w:r>
            <w:r>
              <w:rPr>
                <w:rFonts w:hint="eastAsia" w:ascii="宋体" w:hAnsi="宋体" w:cs="宋体"/>
                <w:b w:val="0"/>
                <w:bCs/>
                <w:i/>
                <w:iCs/>
                <w:color w:val="auto"/>
                <w:sz w:val="21"/>
                <w:szCs w:val="21"/>
                <w:highlight w:val="none"/>
                <w:lang w:val="en-US" w:eastAsia="zh-CN"/>
              </w:rPr>
              <w:t>邮箱系统</w:t>
            </w:r>
            <w:r>
              <w:rPr>
                <w:rFonts w:hint="eastAsia" w:ascii="宋体" w:hAnsi="宋体"/>
                <w:b w:val="0"/>
                <w:bCs/>
                <w:i/>
                <w:iCs/>
                <w:color w:val="auto"/>
                <w:sz w:val="21"/>
                <w:szCs w:val="21"/>
                <w:highlight w:val="none"/>
              </w:rPr>
              <w:t>递交</w:t>
            </w:r>
            <w:r>
              <w:rPr>
                <w:rFonts w:hint="eastAsia" w:ascii="宋体" w:hAnsi="宋体"/>
                <w:b w:val="0"/>
                <w:bCs/>
                <w:i/>
                <w:iCs/>
                <w:color w:val="auto"/>
                <w:sz w:val="21"/>
                <w:szCs w:val="21"/>
                <w:highlight w:val="none"/>
                <w:lang w:val="en-US" w:eastAsia="zh-CN"/>
              </w:rPr>
              <w:t>或现场递交</w:t>
            </w:r>
            <w:r>
              <w:rPr>
                <w:rFonts w:hint="eastAsia" w:ascii="宋体" w:hAnsi="宋体"/>
                <w:b w:val="0"/>
                <w:bCs/>
                <w:i/>
                <w:iCs/>
                <w:color w:val="auto"/>
                <w:sz w:val="21"/>
                <w:szCs w:val="21"/>
                <w:highlight w:val="none"/>
              </w:rPr>
              <w:t>）。</w:t>
            </w:r>
            <w:r>
              <w:rPr>
                <w:b w:val="0"/>
                <w:bCs/>
                <w:i/>
                <w:iCs/>
                <w:color w:val="auto"/>
                <w:sz w:val="21"/>
                <w:szCs w:val="21"/>
                <w:highlight w:val="none"/>
              </w:rPr>
              <w:t xml:space="preserve"> </w:t>
            </w:r>
            <w:r>
              <w:rPr>
                <w:i/>
                <w:iCs/>
                <w:color w:val="auto"/>
                <w:sz w:val="24"/>
                <w:highlight w:val="none"/>
              </w:rPr>
              <w:t xml:space="preserve"> </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1809" w:type="dxa"/>
            <w:vMerge w:val="continue"/>
            <w:vAlign w:val="center"/>
          </w:tcPr>
          <w:p>
            <w:pPr>
              <w:spacing w:line="400" w:lineRule="exact"/>
              <w:jc w:val="center"/>
              <w:rPr>
                <w:color w:val="auto"/>
                <w:sz w:val="24"/>
                <w:highlight w:val="none"/>
              </w:rPr>
            </w:pPr>
          </w:p>
        </w:tc>
        <w:tc>
          <w:tcPr>
            <w:tcW w:w="6743" w:type="dxa"/>
            <w:vAlign w:val="center"/>
          </w:tcPr>
          <w:p>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552" w:type="dxa"/>
            <w:gridSpan w:val="2"/>
            <w:vAlign w:val="center"/>
          </w:tcPr>
          <w:p>
            <w:pPr>
              <w:spacing w:line="400" w:lineRule="exact"/>
              <w:rPr>
                <w:rFonts w:hAnsi="宋体"/>
                <w:color w:val="auto"/>
                <w:sz w:val="24"/>
                <w:highlight w:val="none"/>
              </w:rPr>
            </w:pPr>
            <w:r>
              <w:rPr>
                <w:rFonts w:hint="eastAsia" w:hAnsi="宋体"/>
                <w:color w:val="auto"/>
                <w:sz w:val="24"/>
                <w:highlight w:val="none"/>
              </w:rPr>
              <w:t>备注：</w:t>
            </w:r>
          </w:p>
          <w:p>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、分项报价按总报价的同等比例下浮；</w:t>
            </w:r>
          </w:p>
          <w:p>
            <w:pPr>
              <w:spacing w:line="400" w:lineRule="exact"/>
              <w:rPr>
                <w:rFonts w:hAnsi="宋体"/>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pPr>
        <w:spacing w:line="360" w:lineRule="auto"/>
        <w:rPr>
          <w:rFonts w:ascii="宋体"/>
          <w:b/>
          <w:color w:val="auto"/>
          <w:sz w:val="24"/>
          <w:highlight w:val="none"/>
        </w:rPr>
      </w:pPr>
    </w:p>
    <w:p>
      <w:pPr>
        <w:spacing w:line="360" w:lineRule="auto"/>
        <w:ind w:firstLine="3465" w:firstLineChars="1650"/>
        <w:rPr>
          <w:rFonts w:ascii="宋体"/>
          <w:color w:val="auto"/>
          <w:szCs w:val="21"/>
          <w:highlight w:val="none"/>
        </w:rPr>
      </w:pPr>
    </w:p>
    <w:p>
      <w:pPr>
        <w:pStyle w:val="8"/>
        <w:rPr>
          <w:rFonts w:ascii="宋体"/>
          <w:color w:val="auto"/>
          <w:szCs w:val="21"/>
          <w:highlight w:val="none"/>
        </w:rPr>
      </w:pPr>
    </w:p>
    <w:p>
      <w:pPr>
        <w:rPr>
          <w:rFonts w:ascii="宋体"/>
          <w:color w:val="auto"/>
          <w:szCs w:val="21"/>
          <w:highlight w:val="none"/>
        </w:rPr>
      </w:pPr>
    </w:p>
    <w:p>
      <w:pPr>
        <w:pStyle w:val="8"/>
        <w:rPr>
          <w:color w:val="auto"/>
          <w:highlight w:val="none"/>
        </w:rPr>
      </w:pPr>
    </w:p>
    <w:p>
      <w:pPr>
        <w:spacing w:line="360" w:lineRule="auto"/>
        <w:ind w:firstLine="3465" w:firstLineChars="1650"/>
        <w:rPr>
          <w:rFonts w:asci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（盖  章）</w:t>
      </w:r>
    </w:p>
    <w:p>
      <w:pPr>
        <w:pStyle w:val="30"/>
        <w:tabs>
          <w:tab w:val="left" w:pos="5580"/>
        </w:tabs>
        <w:spacing w:line="480" w:lineRule="auto"/>
        <w:ind w:firstLine="3600" w:firstLineChars="1500"/>
        <w:rPr>
          <w:rFonts w:hint="default" w:hAnsi="宋体" w:eastAsia="宋体" w:cs="宋体"/>
          <w:color w:val="auto"/>
          <w:highlight w:val="none"/>
          <w:lang w:val="en-US"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hAnsi="宋体"/>
          <w:color w:val="auto"/>
          <w:sz w:val="24"/>
          <w:highlight w:val="none"/>
          <w:u w:val="single"/>
          <w:lang w:val="en-US" w:eastAsia="zh-CN"/>
        </w:rPr>
        <w:t xml:space="preserve">  </w:t>
      </w:r>
    </w:p>
    <w:bookmarkEnd w:id="255"/>
    <w:bookmarkEnd w:id="256"/>
    <w:p>
      <w:pPr>
        <w:pStyle w:val="8"/>
        <w:rPr>
          <w:rFonts w:hint="eastAsia"/>
          <w:color w:val="auto"/>
          <w:highlight w:val="none"/>
          <w:lang w:eastAsia="zh-CN"/>
        </w:rPr>
      </w:pPr>
      <w:bookmarkStart w:id="257" w:name="_Toc20013"/>
      <w:bookmarkStart w:id="258" w:name="_Toc2920"/>
    </w:p>
    <w:p>
      <w:pPr>
        <w:pStyle w:val="8"/>
        <w:rPr>
          <w:rFonts w:hint="eastAsia"/>
          <w:color w:val="auto"/>
          <w:highlight w:val="none"/>
          <w:lang w:eastAsia="zh-CN"/>
        </w:rPr>
      </w:pPr>
    </w:p>
    <w:p>
      <w:pPr>
        <w:pStyle w:val="8"/>
        <w:numPr>
          <w:ilvl w:val="0"/>
          <w:numId w:val="0"/>
        </w:numPr>
        <w:shd w:val="clear" w:color="auto" w:fill="FFFFFF"/>
        <w:jc w:val="center"/>
        <w:rPr>
          <w:rFonts w:hint="default" w:cs="宋体"/>
          <w:color w:val="auto"/>
          <w:sz w:val="28"/>
          <w:szCs w:val="28"/>
          <w:highlight w:val="none"/>
          <w:lang w:val="en-US" w:eastAsia="zh-CN"/>
        </w:rPr>
      </w:pPr>
      <w:r>
        <w:rPr>
          <w:rFonts w:hint="eastAsia" w:cs="宋体"/>
          <w:color w:val="auto"/>
          <w:sz w:val="28"/>
          <w:szCs w:val="28"/>
          <w:highlight w:val="none"/>
          <w:lang w:val="en-US" w:eastAsia="zh-CN"/>
        </w:rPr>
        <w:t>五</w:t>
      </w:r>
      <w:r>
        <w:rPr>
          <w:rFonts w:hint="eastAsia" w:cs="宋体"/>
          <w:color w:val="auto"/>
          <w:sz w:val="28"/>
          <w:szCs w:val="28"/>
          <w:highlight w:val="none"/>
        </w:rPr>
        <w:t>、</w:t>
      </w:r>
      <w:bookmarkEnd w:id="257"/>
      <w:bookmarkEnd w:id="258"/>
      <w:r>
        <w:rPr>
          <w:rFonts w:hint="eastAsia" w:cs="宋体"/>
          <w:color w:val="auto"/>
          <w:sz w:val="28"/>
          <w:szCs w:val="28"/>
          <w:highlight w:val="none"/>
          <w:lang w:val="en-US" w:eastAsia="zh-CN"/>
        </w:rPr>
        <w:t>服务及技术方案</w:t>
      </w:r>
    </w:p>
    <w:p>
      <w:pPr>
        <w:spacing w:line="360" w:lineRule="auto"/>
        <w:ind w:firstLine="420" w:firstLineChars="200"/>
        <w:rPr>
          <w:rFonts w:ascii="仿宋" w:hAnsi="仿宋" w:eastAsia="仿宋"/>
          <w:color w:val="auto"/>
          <w:szCs w:val="21"/>
          <w:highlight w:val="none"/>
        </w:rPr>
      </w:pPr>
    </w:p>
    <w:p>
      <w:pPr>
        <w:spacing w:line="360" w:lineRule="auto"/>
        <w:ind w:firstLine="435"/>
        <w:jc w:val="center"/>
        <w:rPr>
          <w:color w:val="auto"/>
          <w:highlight w:val="none"/>
        </w:rPr>
      </w:pPr>
      <w:r>
        <w:rPr>
          <w:rFonts w:hint="eastAsia"/>
          <w:color w:val="auto"/>
          <w:highlight w:val="none"/>
          <w:lang w:val="en-US" w:eastAsia="zh-CN"/>
        </w:rPr>
        <w:t>(响应人可自行制作格式)</w:t>
      </w:r>
    </w:p>
    <w:p>
      <w:pPr>
        <w:spacing w:line="360" w:lineRule="auto"/>
        <w:ind w:firstLine="435"/>
        <w:rPr>
          <w:color w:val="auto"/>
          <w:highlight w:val="none"/>
        </w:rPr>
      </w:pPr>
    </w:p>
    <w:p>
      <w:pPr>
        <w:spacing w:line="360" w:lineRule="auto"/>
        <w:ind w:firstLine="435"/>
        <w:rPr>
          <w:color w:val="auto"/>
          <w:highlight w:val="none"/>
        </w:rPr>
      </w:pPr>
    </w:p>
    <w:p>
      <w:pPr>
        <w:spacing w:line="360" w:lineRule="auto"/>
        <w:ind w:firstLine="435"/>
        <w:rPr>
          <w:color w:val="auto"/>
          <w:highlight w:val="none"/>
        </w:rPr>
      </w:pPr>
    </w:p>
    <w:p>
      <w:pPr>
        <w:spacing w:line="360" w:lineRule="auto"/>
        <w:ind w:firstLine="435"/>
        <w:rPr>
          <w:color w:val="auto"/>
          <w:highlight w:val="none"/>
        </w:rPr>
      </w:pPr>
    </w:p>
    <w:p>
      <w:pPr>
        <w:spacing w:line="360" w:lineRule="auto"/>
        <w:ind w:firstLine="435"/>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pStyle w:val="74"/>
        <w:rPr>
          <w:color w:val="auto"/>
          <w:highlight w:val="none"/>
        </w:rPr>
      </w:pPr>
    </w:p>
    <w:p>
      <w:pPr>
        <w:keepNext w:val="0"/>
        <w:keepLines w:val="0"/>
        <w:widowControl/>
        <w:numPr>
          <w:ilvl w:val="0"/>
          <w:numId w:val="0"/>
        </w:numPr>
        <w:suppressLineNumbers w:val="0"/>
        <w:jc w:val="center"/>
        <w:rPr>
          <w:rFonts w:hint="eastAsia" w:ascii="宋体" w:hAnsi="宋体" w:cs="宋体"/>
          <w:b/>
          <w:color w:val="auto"/>
          <w:kern w:val="2"/>
          <w:sz w:val="28"/>
          <w:szCs w:val="28"/>
          <w:highlight w:val="none"/>
          <w:shd w:val="clear" w:color="auto" w:fill="FFFFFF"/>
          <w:lang w:val="en-US" w:eastAsia="zh-CN" w:bidi="ar-SA"/>
        </w:rPr>
      </w:pPr>
      <w:bookmarkStart w:id="259" w:name="_Toc28007"/>
      <w:bookmarkStart w:id="260" w:name="_Toc25547"/>
    </w:p>
    <w:p>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259"/>
      <w:bookmarkEnd w:id="260"/>
    </w:p>
    <w:p>
      <w:pPr>
        <w:rPr>
          <w:rFonts w:ascii="仿宋" w:hAnsi="仿宋" w:eastAsia="仿宋" w:cs="仿宋"/>
          <w:b/>
          <w:bCs/>
          <w:color w:val="auto"/>
          <w:sz w:val="24"/>
          <w:highlight w:val="none"/>
        </w:rPr>
      </w:pP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 xml:space="preserve">保证按照《政府采购质疑和投诉办法》要求进行。投诉内容符合要求，投诉材料加盖企业公章或由法定代表人或其委托代理人签字，并附有关身份证明。不恶意投诉，对本公司提供的投诉线索的真实性负责。 </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pPr>
        <w:spacing w:line="360" w:lineRule="auto"/>
        <w:ind w:firstLine="4245" w:firstLineChars="1762"/>
        <w:rPr>
          <w:rFonts w:asciiTheme="minorEastAsia" w:hAnsiTheme="minorEastAsia" w:eastAsiaTheme="minorEastAsia"/>
          <w:b/>
          <w:bCs/>
          <w:color w:val="auto"/>
          <w:sz w:val="24"/>
          <w:highlight w:val="none"/>
          <w:u w:val="single"/>
        </w:rPr>
      </w:pPr>
      <w:bookmarkStart w:id="261" w:name="_Toc7076"/>
      <w:r>
        <w:rPr>
          <w:rFonts w:hint="eastAsia" w:asciiTheme="minorEastAsia" w:hAnsiTheme="minorEastAsia" w:eastAsiaTheme="minorEastAsia"/>
          <w:b/>
          <w:bCs/>
          <w:color w:val="auto"/>
          <w:sz w:val="24"/>
          <w:highlight w:val="none"/>
        </w:rPr>
        <w:t>供应商</w:t>
      </w:r>
      <w:r>
        <w:rPr>
          <w:rFonts w:hint="eastAsia" w:asciiTheme="minorEastAsia" w:hAnsiTheme="minorEastAsia" w:eastAsiaTheme="minorEastAsia"/>
          <w:b/>
          <w:bCs/>
          <w:color w:val="auto"/>
          <w:sz w:val="24"/>
          <w:highlight w:val="none"/>
          <w:lang w:val="en-US" w:eastAsia="zh-CN"/>
        </w:rPr>
        <w:t>公</w:t>
      </w:r>
      <w:r>
        <w:rPr>
          <w:rFonts w:hint="eastAsia" w:asciiTheme="minorEastAsia" w:hAnsiTheme="minorEastAsia" w:eastAsiaTheme="minorEastAsia"/>
          <w:b/>
          <w:bCs/>
          <w:color w:val="auto"/>
          <w:sz w:val="24"/>
          <w:highlight w:val="none"/>
        </w:rPr>
        <w:t>章：</w:t>
      </w:r>
      <w:r>
        <w:rPr>
          <w:rFonts w:hint="eastAsia"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single"/>
        </w:rPr>
        <w:t xml:space="preserve">    </w:t>
      </w:r>
    </w:p>
    <w:p>
      <w:pPr>
        <w:tabs>
          <w:tab w:val="left" w:pos="630"/>
        </w:tabs>
        <w:spacing w:line="360" w:lineRule="auto"/>
        <w:ind w:firstLine="4245" w:firstLineChars="1762"/>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 xml:space="preserve">日    </w:t>
      </w:r>
      <w:r>
        <w:rPr>
          <w:rFonts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rPr>
        <w:t xml:space="preserve"> </w:t>
      </w:r>
      <w:r>
        <w:rPr>
          <w:rFonts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rPr>
        <w:t xml:space="preserve"> 期：</w:t>
      </w:r>
      <w:r>
        <w:rPr>
          <w:rFonts w:hint="eastAsia" w:asciiTheme="minorEastAsia" w:hAnsiTheme="minorEastAsia" w:eastAsiaTheme="minorEastAsia"/>
          <w:b/>
          <w:bCs/>
          <w:color w:val="auto"/>
          <w:sz w:val="24"/>
          <w:highlight w:val="none"/>
          <w:u w:val="single"/>
        </w:rPr>
        <w:t xml:space="preserve">       </w:t>
      </w:r>
      <w:r>
        <w:rPr>
          <w:rFonts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single"/>
        </w:rPr>
        <w:t xml:space="preserve">    </w:t>
      </w:r>
    </w:p>
    <w:p>
      <w:pPr>
        <w:rPr>
          <w:rFonts w:hint="eastAsia"/>
          <w:color w:val="auto"/>
          <w:sz w:val="28"/>
          <w:szCs w:val="28"/>
          <w:highlight w:val="none"/>
          <w:lang w:val="en-US" w:eastAsia="zh-CN"/>
        </w:rPr>
      </w:pPr>
    </w:p>
    <w:p>
      <w:pPr>
        <w:pStyle w:val="8"/>
        <w:rPr>
          <w:rFonts w:hint="eastAsia"/>
          <w:color w:val="auto"/>
          <w:sz w:val="28"/>
          <w:szCs w:val="28"/>
          <w:highlight w:val="none"/>
          <w:lang w:val="en-US" w:eastAsia="zh-CN"/>
        </w:rPr>
      </w:pPr>
    </w:p>
    <w:p>
      <w:pPr>
        <w:rPr>
          <w:rFonts w:hint="eastAsia"/>
          <w:color w:val="auto"/>
          <w:sz w:val="28"/>
          <w:szCs w:val="28"/>
          <w:highlight w:val="none"/>
          <w:lang w:val="en-US" w:eastAsia="zh-CN"/>
        </w:rPr>
      </w:pPr>
    </w:p>
    <w:p>
      <w:pPr>
        <w:rPr>
          <w:rFonts w:hint="eastAsia"/>
          <w:color w:val="auto"/>
          <w:sz w:val="28"/>
          <w:szCs w:val="28"/>
          <w:highlight w:val="none"/>
          <w:lang w:val="en-US" w:eastAsia="zh-CN"/>
        </w:rPr>
      </w:pPr>
    </w:p>
    <w:p>
      <w:pPr>
        <w:pStyle w:val="8"/>
        <w:rPr>
          <w:rFonts w:hint="eastAsia"/>
          <w:color w:val="auto"/>
          <w:highlight w:val="none"/>
          <w:lang w:val="en-US" w:eastAsia="zh-CN"/>
        </w:rPr>
      </w:pPr>
    </w:p>
    <w:p>
      <w:pPr>
        <w:pStyle w:val="8"/>
        <w:jc w:val="center"/>
        <w:rPr>
          <w:rFonts w:hAnsi="宋体"/>
          <w:color w:val="auto"/>
          <w:sz w:val="28"/>
          <w:szCs w:val="28"/>
          <w:highlight w:val="none"/>
        </w:rPr>
      </w:pPr>
      <w:r>
        <w:rPr>
          <w:rFonts w:hint="eastAsia"/>
          <w:color w:val="auto"/>
          <w:sz w:val="28"/>
          <w:szCs w:val="28"/>
          <w:highlight w:val="none"/>
          <w:lang w:val="en-US" w:eastAsia="zh-CN"/>
        </w:rPr>
        <w:t>七</w:t>
      </w:r>
      <w:r>
        <w:rPr>
          <w:rFonts w:hint="eastAsia" w:ascii="仿宋" w:hAnsi="仿宋" w:eastAsia="仿宋" w:cs="仿宋"/>
          <w:bCs/>
          <w:color w:val="auto"/>
          <w:sz w:val="28"/>
          <w:szCs w:val="28"/>
          <w:highlight w:val="none"/>
        </w:rPr>
        <w:t>、</w:t>
      </w:r>
      <w:r>
        <w:rPr>
          <w:rFonts w:hint="eastAsia" w:hAnsi="宋体"/>
          <w:color w:val="auto"/>
          <w:sz w:val="28"/>
          <w:szCs w:val="28"/>
          <w:highlight w:val="none"/>
        </w:rPr>
        <w:t>中小企业声明函(货物</w:t>
      </w:r>
      <w:r>
        <w:rPr>
          <w:rFonts w:hAnsi="宋体"/>
          <w:color w:val="auto"/>
          <w:sz w:val="28"/>
          <w:szCs w:val="28"/>
          <w:highlight w:val="none"/>
        </w:rPr>
        <w:t>)</w:t>
      </w:r>
      <w:bookmarkEnd w:id="261"/>
    </w:p>
    <w:p>
      <w:pPr>
        <w:spacing w:line="360" w:lineRule="auto"/>
        <w:jc w:val="center"/>
        <w:rPr>
          <w:color w:val="auto"/>
          <w:highlight w:val="none"/>
        </w:rPr>
      </w:pPr>
      <w:r>
        <w:rPr>
          <w:rFonts w:hint="eastAsia" w:ascii="宋体" w:hAnsi="宋体"/>
          <w:b/>
          <w:color w:val="auto"/>
          <w:szCs w:val="21"/>
          <w:highlight w:val="none"/>
        </w:rPr>
        <w:t>（非中小企业，不需此件）</w:t>
      </w:r>
    </w:p>
    <w:p>
      <w:pPr>
        <w:spacing w:line="360" w:lineRule="auto"/>
        <w:ind w:firstLine="480" w:firstLineChars="200"/>
        <w:rPr>
          <w:color w:val="auto"/>
          <w:sz w:val="24"/>
          <w:szCs w:val="24"/>
          <w:highlight w:val="none"/>
        </w:rPr>
      </w:pPr>
      <w:r>
        <w:rPr>
          <w:rFonts w:hint="eastAsia"/>
          <w:color w:val="auto"/>
          <w:sz w:val="24"/>
          <w:szCs w:val="24"/>
          <w:highlight w:val="none"/>
        </w:rPr>
        <w:t>本公司</w:t>
      </w:r>
      <w:r>
        <w:rPr>
          <w:color w:val="auto"/>
          <w:sz w:val="24"/>
          <w:szCs w:val="24"/>
          <w:highlight w:val="none"/>
        </w:rPr>
        <w:t>(联合体）郑重声明，根据《政府采购促进中小企业发展管理办法》(财库〔2020〕46号）的规定，本公司(联合体）参加</w:t>
      </w:r>
      <w:r>
        <w:rPr>
          <w:i/>
          <w:color w:val="auto"/>
          <w:sz w:val="24"/>
          <w:szCs w:val="24"/>
          <w:highlight w:val="none"/>
          <w:u w:val="single"/>
        </w:rPr>
        <w:t>(单</w:t>
      </w:r>
      <w:r>
        <w:rPr>
          <w:rFonts w:hint="eastAsia"/>
          <w:i/>
          <w:color w:val="auto"/>
          <w:sz w:val="24"/>
          <w:szCs w:val="24"/>
          <w:highlight w:val="none"/>
          <w:u w:val="single"/>
        </w:rPr>
        <w:t xml:space="preserve"> </w:t>
      </w:r>
      <w:r>
        <w:rPr>
          <w:i/>
          <w:color w:val="auto"/>
          <w:sz w:val="24"/>
          <w:szCs w:val="24"/>
          <w:highlight w:val="none"/>
          <w:u w:val="single"/>
        </w:rPr>
        <w:t>位</w:t>
      </w:r>
      <w:r>
        <w:rPr>
          <w:rFonts w:hint="eastAsia"/>
          <w:i/>
          <w:color w:val="auto"/>
          <w:sz w:val="24"/>
          <w:szCs w:val="24"/>
          <w:highlight w:val="none"/>
          <w:u w:val="single"/>
        </w:rPr>
        <w:t xml:space="preserve"> </w:t>
      </w:r>
      <w:r>
        <w:rPr>
          <w:i/>
          <w:color w:val="auto"/>
          <w:sz w:val="24"/>
          <w:szCs w:val="24"/>
          <w:highlight w:val="none"/>
          <w:u w:val="single"/>
        </w:rPr>
        <w:t>名</w:t>
      </w:r>
      <w:r>
        <w:rPr>
          <w:rFonts w:hint="eastAsia"/>
          <w:i/>
          <w:color w:val="auto"/>
          <w:sz w:val="24"/>
          <w:szCs w:val="24"/>
          <w:highlight w:val="none"/>
          <w:u w:val="single"/>
        </w:rPr>
        <w:t xml:space="preserve"> </w:t>
      </w:r>
      <w:r>
        <w:rPr>
          <w:i/>
          <w:color w:val="auto"/>
          <w:sz w:val="24"/>
          <w:szCs w:val="24"/>
          <w:highlight w:val="none"/>
          <w:u w:val="single"/>
        </w:rPr>
        <w:t>称）</w:t>
      </w:r>
      <w:r>
        <w:rPr>
          <w:color w:val="auto"/>
          <w:sz w:val="24"/>
          <w:szCs w:val="24"/>
          <w:highlight w:val="none"/>
        </w:rPr>
        <w:t>的</w:t>
      </w:r>
      <w:r>
        <w:rPr>
          <w:i/>
          <w:color w:val="auto"/>
          <w:sz w:val="24"/>
          <w:szCs w:val="24"/>
          <w:highlight w:val="none"/>
          <w:u w:val="single"/>
        </w:rPr>
        <w:t>(项</w:t>
      </w:r>
      <w:r>
        <w:rPr>
          <w:rFonts w:hint="eastAsia"/>
          <w:i/>
          <w:color w:val="auto"/>
          <w:sz w:val="24"/>
          <w:szCs w:val="24"/>
          <w:highlight w:val="none"/>
          <w:u w:val="single"/>
        </w:rPr>
        <w:t xml:space="preserve"> </w:t>
      </w:r>
      <w:r>
        <w:rPr>
          <w:i/>
          <w:color w:val="auto"/>
          <w:sz w:val="24"/>
          <w:szCs w:val="24"/>
          <w:highlight w:val="none"/>
          <w:u w:val="single"/>
        </w:rPr>
        <w:t>目</w:t>
      </w:r>
      <w:r>
        <w:rPr>
          <w:rFonts w:hint="eastAsia"/>
          <w:i/>
          <w:color w:val="auto"/>
          <w:sz w:val="24"/>
          <w:szCs w:val="24"/>
          <w:highlight w:val="none"/>
          <w:u w:val="single"/>
        </w:rPr>
        <w:t xml:space="preserve"> </w:t>
      </w:r>
      <w:r>
        <w:rPr>
          <w:i/>
          <w:color w:val="auto"/>
          <w:sz w:val="24"/>
          <w:szCs w:val="24"/>
          <w:highlight w:val="none"/>
          <w:u w:val="single"/>
        </w:rPr>
        <w:t>名</w:t>
      </w:r>
      <w:r>
        <w:rPr>
          <w:rFonts w:hint="eastAsia"/>
          <w:i/>
          <w:color w:val="auto"/>
          <w:sz w:val="24"/>
          <w:szCs w:val="24"/>
          <w:highlight w:val="none"/>
          <w:u w:val="single"/>
        </w:rPr>
        <w:t xml:space="preserve"> </w:t>
      </w:r>
      <w:r>
        <w:rPr>
          <w:i/>
          <w:color w:val="auto"/>
          <w:sz w:val="24"/>
          <w:szCs w:val="24"/>
          <w:highlight w:val="none"/>
          <w:u w:val="single"/>
        </w:rPr>
        <w:t>称）</w:t>
      </w:r>
      <w:r>
        <w:rPr>
          <w:color w:val="auto"/>
          <w:sz w:val="24"/>
          <w:szCs w:val="24"/>
          <w:highlight w:val="none"/>
        </w:rPr>
        <w:t>采购活动，提供的货物全部由符合政策要求的中小企业制造。相关企业(含联合体中的中小企业、签订分包意向协议的中小企业)的具体情况如下:</w:t>
      </w:r>
    </w:p>
    <w:p>
      <w:pPr>
        <w:spacing w:line="360" w:lineRule="auto"/>
        <w:ind w:firstLine="480" w:firstLineChars="200"/>
        <w:rPr>
          <w:color w:val="auto"/>
          <w:sz w:val="24"/>
          <w:szCs w:val="24"/>
          <w:highlight w:val="none"/>
        </w:rPr>
      </w:pPr>
      <w:r>
        <w:rPr>
          <w:color w:val="auto"/>
          <w:sz w:val="24"/>
          <w:szCs w:val="24"/>
          <w:highlight w:val="none"/>
        </w:rPr>
        <w:t>1.</w:t>
      </w:r>
      <w:r>
        <w:rPr>
          <w:i/>
          <w:color w:val="auto"/>
          <w:sz w:val="24"/>
          <w:szCs w:val="24"/>
          <w:highlight w:val="none"/>
          <w:u w:val="single"/>
        </w:rPr>
        <w:t>（标的名称）</w:t>
      </w:r>
      <w:r>
        <w:rPr>
          <w:color w:val="auto"/>
          <w:sz w:val="24"/>
          <w:szCs w:val="24"/>
          <w:highlight w:val="none"/>
        </w:rPr>
        <w:t>，属于</w:t>
      </w:r>
      <w:r>
        <w:rPr>
          <w:i/>
          <w:color w:val="auto"/>
          <w:sz w:val="24"/>
          <w:szCs w:val="24"/>
          <w:highlight w:val="none"/>
          <w:u w:val="single"/>
        </w:rPr>
        <w:t>（采购文件中明确的所属行业）</w:t>
      </w:r>
      <w:r>
        <w:rPr>
          <w:i/>
          <w:color w:val="auto"/>
          <w:sz w:val="24"/>
          <w:szCs w:val="24"/>
          <w:highlight w:val="none"/>
        </w:rPr>
        <w:t>行业</w:t>
      </w:r>
      <w:r>
        <w:rPr>
          <w:color w:val="auto"/>
          <w:sz w:val="24"/>
          <w:szCs w:val="24"/>
          <w:highlight w:val="none"/>
        </w:rPr>
        <w:t>;制造商为</w:t>
      </w:r>
      <w:r>
        <w:rPr>
          <w:i/>
          <w:color w:val="auto"/>
          <w:sz w:val="24"/>
          <w:szCs w:val="24"/>
          <w:highlight w:val="none"/>
          <w:u w:val="single"/>
        </w:rPr>
        <w:t>（企业名称)</w:t>
      </w:r>
      <w:r>
        <w:rPr>
          <w:color w:val="auto"/>
          <w:sz w:val="24"/>
          <w:szCs w:val="24"/>
          <w:highlight w:val="none"/>
        </w:rPr>
        <w:t>，从业人员_____人，营业收入为______万元，资产总额为_____万元'，属于</w:t>
      </w:r>
      <w:r>
        <w:rPr>
          <w:i/>
          <w:color w:val="auto"/>
          <w:sz w:val="24"/>
          <w:szCs w:val="24"/>
          <w:highlight w:val="none"/>
          <w:u w:val="single"/>
        </w:rPr>
        <w:t>（中型企业、小型企业、微型企业)</w:t>
      </w:r>
      <w:r>
        <w:rPr>
          <w:rFonts w:hint="eastAsia"/>
          <w:color w:val="auto"/>
          <w:sz w:val="24"/>
          <w:szCs w:val="24"/>
          <w:highlight w:val="none"/>
        </w:rPr>
        <w:t>；</w:t>
      </w:r>
    </w:p>
    <w:p>
      <w:pPr>
        <w:spacing w:line="360" w:lineRule="auto"/>
        <w:ind w:firstLine="480" w:firstLineChars="200"/>
        <w:rPr>
          <w:color w:val="auto"/>
          <w:sz w:val="24"/>
          <w:szCs w:val="24"/>
          <w:highlight w:val="none"/>
        </w:rPr>
      </w:pPr>
      <w:r>
        <w:rPr>
          <w:color w:val="auto"/>
          <w:sz w:val="24"/>
          <w:szCs w:val="24"/>
          <w:highlight w:val="none"/>
        </w:rPr>
        <w:t>2.</w:t>
      </w:r>
      <w:r>
        <w:rPr>
          <w:i/>
          <w:color w:val="auto"/>
          <w:sz w:val="24"/>
          <w:szCs w:val="24"/>
          <w:highlight w:val="none"/>
          <w:u w:val="single"/>
        </w:rPr>
        <w:t xml:space="preserve"> （标的名称）</w:t>
      </w:r>
      <w:r>
        <w:rPr>
          <w:color w:val="auto"/>
          <w:sz w:val="24"/>
          <w:szCs w:val="24"/>
          <w:highlight w:val="none"/>
        </w:rPr>
        <w:t>，属于</w:t>
      </w:r>
      <w:r>
        <w:rPr>
          <w:i/>
          <w:color w:val="auto"/>
          <w:sz w:val="24"/>
          <w:szCs w:val="24"/>
          <w:highlight w:val="none"/>
          <w:u w:val="single"/>
        </w:rPr>
        <w:t>（采购文件中明确的所属行业）</w:t>
      </w:r>
      <w:r>
        <w:rPr>
          <w:i/>
          <w:color w:val="auto"/>
          <w:sz w:val="24"/>
          <w:szCs w:val="24"/>
          <w:highlight w:val="none"/>
        </w:rPr>
        <w:t>行业</w:t>
      </w:r>
      <w:r>
        <w:rPr>
          <w:color w:val="auto"/>
          <w:sz w:val="24"/>
          <w:szCs w:val="24"/>
          <w:highlight w:val="none"/>
        </w:rPr>
        <w:t>;制造商为</w:t>
      </w:r>
      <w:r>
        <w:rPr>
          <w:i/>
          <w:color w:val="auto"/>
          <w:sz w:val="24"/>
          <w:szCs w:val="24"/>
          <w:highlight w:val="none"/>
          <w:u w:val="single"/>
        </w:rPr>
        <w:t>（企业名称)</w:t>
      </w:r>
      <w:r>
        <w:rPr>
          <w:color w:val="auto"/>
          <w:sz w:val="24"/>
          <w:szCs w:val="24"/>
          <w:highlight w:val="none"/>
        </w:rPr>
        <w:t>，从业人员_____人，营业收入为______万元，资产总额为_____万元'，属于</w:t>
      </w:r>
      <w:r>
        <w:rPr>
          <w:i/>
          <w:color w:val="auto"/>
          <w:sz w:val="24"/>
          <w:szCs w:val="24"/>
          <w:highlight w:val="none"/>
          <w:u w:val="single"/>
        </w:rPr>
        <w:t>（中型企业、小型企业、微型企业)</w:t>
      </w:r>
      <w:r>
        <w:rPr>
          <w:rFonts w:hint="eastAsia"/>
          <w:color w:val="auto"/>
          <w:sz w:val="24"/>
          <w:szCs w:val="24"/>
          <w:highlight w:val="none"/>
        </w:rPr>
        <w:t>；</w:t>
      </w:r>
    </w:p>
    <w:p>
      <w:pPr>
        <w:spacing w:line="360" w:lineRule="auto"/>
        <w:ind w:firstLine="482" w:firstLineChars="200"/>
        <w:rPr>
          <w:b/>
          <w:color w:val="auto"/>
          <w:sz w:val="24"/>
          <w:szCs w:val="24"/>
          <w:highlight w:val="none"/>
        </w:rPr>
      </w:pPr>
      <w:r>
        <w:rPr>
          <w:b/>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8"/>
        <w:rPr>
          <w:rFonts w:hint="eastAsia"/>
          <w:color w:val="auto"/>
          <w:highlight w:val="none"/>
          <w:lang w:eastAsia="zh-CN"/>
        </w:rPr>
      </w:pPr>
    </w:p>
    <w:p>
      <w:pPr>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28" w:firstLineChars="1762"/>
        <w:textAlignment w:val="auto"/>
        <w:rPr>
          <w:rFonts w:hint="default"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供应商公章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line="560" w:lineRule="exact"/>
        <w:ind w:firstLine="4252" w:firstLineChars="1772"/>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备注：</w:t>
      </w:r>
    </w:p>
    <w:p>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pPr>
        <w:tabs>
          <w:tab w:val="left" w:pos="4620"/>
        </w:tabs>
        <w:spacing w:line="360" w:lineRule="auto"/>
        <w:jc w:val="left"/>
        <w:rPr>
          <w:rFonts w:hint="eastAsia" w:asciiTheme="minorEastAsia" w:hAnsiTheme="minorEastAsia" w:eastAsiaTheme="minorEastAsia"/>
          <w:color w:val="auto"/>
          <w:szCs w:val="24"/>
          <w:highlight w:val="none"/>
          <w:lang w:val="en-US" w:eastAsia="zh-CN"/>
        </w:rPr>
      </w:pPr>
      <w:bookmarkStart w:id="262" w:name="_Toc9439"/>
      <w:r>
        <w:rPr>
          <w:rFonts w:hint="eastAsia" w:asciiTheme="minorEastAsia" w:hAnsiTheme="minorEastAsia" w:eastAsiaTheme="minorEastAsia"/>
          <w:color w:val="auto"/>
          <w:szCs w:val="24"/>
          <w:highlight w:val="none"/>
          <w:lang w:val="en-US" w:eastAsia="zh-CN"/>
        </w:rPr>
        <w:t xml:space="preserve">2.供应商应根据《政府采购促进中小企业发展管理办法》（财库﹝2020﹞46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w:t>
      </w:r>
      <w:r>
        <w:rPr>
          <w:rFonts w:hint="eastAsia" w:asciiTheme="minorEastAsia" w:hAnsiTheme="minorEastAsia" w:eastAsiaTheme="minorEastAsia"/>
          <w:color w:val="auto"/>
          <w:szCs w:val="24"/>
          <w:highlight w:val="none"/>
          <w:lang w:val="en-US" w:eastAsia="zh-CN"/>
        </w:rPr>
        <w:fldChar w:fldCharType="begin"/>
      </w:r>
      <w:r>
        <w:rPr>
          <w:rFonts w:hint="eastAsia" w:asciiTheme="minorEastAsia" w:hAnsiTheme="minorEastAsia" w:eastAsiaTheme="minorEastAsia"/>
          <w:color w:val="auto"/>
          <w:szCs w:val="24"/>
          <w:highlight w:val="none"/>
          <w:lang w:val="en-US" w:eastAsia="zh-CN"/>
        </w:rPr>
        <w:instrText xml:space="preserve"> HYPERLINK "https://www.miit.gov.cn/）。" </w:instrText>
      </w:r>
      <w:r>
        <w:rPr>
          <w:rFonts w:hint="eastAsia" w:asciiTheme="minorEastAsia" w:hAnsiTheme="minorEastAsia" w:eastAsiaTheme="minorEastAsia"/>
          <w:color w:val="auto"/>
          <w:szCs w:val="24"/>
          <w:highlight w:val="none"/>
          <w:lang w:val="en-US" w:eastAsia="zh-CN"/>
        </w:rPr>
        <w:fldChar w:fldCharType="separate"/>
      </w:r>
      <w:r>
        <w:rPr>
          <w:rStyle w:val="70"/>
          <w:rFonts w:hint="eastAsia" w:asciiTheme="minorEastAsia" w:hAnsiTheme="minorEastAsia" w:eastAsiaTheme="minorEastAsia"/>
          <w:color w:val="auto"/>
          <w:szCs w:val="24"/>
          <w:highlight w:val="none"/>
          <w:lang w:val="en-US" w:eastAsia="zh-CN"/>
        </w:rPr>
        <w:t>https://www.miit.gov.cn/）。</w:t>
      </w:r>
      <w:r>
        <w:rPr>
          <w:rFonts w:hint="eastAsia" w:asciiTheme="minorEastAsia" w:hAnsiTheme="minorEastAsia" w:eastAsiaTheme="minorEastAsia"/>
          <w:color w:val="auto"/>
          <w:szCs w:val="24"/>
          <w:highlight w:val="none"/>
          <w:lang w:val="en-US" w:eastAsia="zh-CN"/>
        </w:rPr>
        <w:fldChar w:fldCharType="end"/>
      </w:r>
    </w:p>
    <w:p>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3.如</w:t>
      </w:r>
      <w:r>
        <w:rPr>
          <w:rFonts w:hint="eastAsia" w:asciiTheme="minorEastAsia" w:hAnsiTheme="minorEastAsia" w:eastAsiaTheme="minorEastAsia"/>
          <w:color w:val="auto"/>
          <w:szCs w:val="24"/>
          <w:highlight w:val="none"/>
          <w:lang w:val="en-US" w:eastAsia="zh-CN"/>
        </w:rPr>
        <w:t>供应商</w:t>
      </w:r>
      <w:r>
        <w:rPr>
          <w:rFonts w:asciiTheme="minorEastAsia" w:hAnsiTheme="minorEastAsia" w:eastAsiaTheme="minorEastAsia"/>
          <w:color w:val="auto"/>
          <w:szCs w:val="24"/>
          <w:highlight w:val="none"/>
        </w:rPr>
        <w:t>提供的《中小企业声明函》内容不实，属于“隐瞒真实情况，提供虚假资料”情形的，将依照有关规定追究相应责任。</w:t>
      </w:r>
    </w:p>
    <w:p>
      <w:pPr>
        <w:pStyle w:val="8"/>
        <w:rPr>
          <w:rFonts w:hint="eastAsia" w:hAnsi="宋体"/>
          <w:bCs/>
          <w:color w:val="auto"/>
          <w:highlight w:val="none"/>
        </w:rPr>
        <w:sectPr>
          <w:pgSz w:w="11906" w:h="16838"/>
          <w:pgMar w:top="1418" w:right="1418" w:bottom="1276" w:left="1418" w:header="680" w:footer="680" w:gutter="0"/>
          <w:pgNumType w:fmt="decimal"/>
          <w:cols w:space="720" w:num="1"/>
          <w:docGrid w:type="lines" w:linePitch="312" w:charSpace="0"/>
        </w:sectPr>
      </w:pPr>
    </w:p>
    <w:p>
      <w:pPr>
        <w:pStyle w:val="8"/>
        <w:shd w:val="clear" w:color="auto" w:fill="FFFFFF"/>
        <w:jc w:val="center"/>
        <w:rPr>
          <w:rFonts w:hint="eastAsia"/>
          <w:color w:val="auto"/>
          <w:sz w:val="28"/>
          <w:szCs w:val="28"/>
          <w:highlight w:val="none"/>
          <w:lang w:val="en-US" w:eastAsia="zh-CN"/>
        </w:rPr>
      </w:pPr>
    </w:p>
    <w:p>
      <w:pPr>
        <w:pStyle w:val="8"/>
        <w:shd w:val="clear" w:color="auto" w:fill="FFFFFF"/>
        <w:jc w:val="center"/>
        <w:rPr>
          <w:rFonts w:hint="eastAsia"/>
          <w:color w:val="auto"/>
          <w:sz w:val="28"/>
          <w:szCs w:val="28"/>
          <w:highlight w:val="none"/>
          <w:lang w:val="en-US" w:eastAsia="zh-CN"/>
        </w:rPr>
      </w:pPr>
      <w:r>
        <w:rPr>
          <w:rFonts w:hint="eastAsia"/>
          <w:color w:val="auto"/>
          <w:sz w:val="28"/>
          <w:szCs w:val="28"/>
          <w:highlight w:val="none"/>
          <w:lang w:val="en-US" w:eastAsia="zh-CN"/>
        </w:rPr>
        <w:t>八、残疾人福利性单位声明函</w:t>
      </w:r>
      <w:bookmarkEnd w:id="262"/>
    </w:p>
    <w:p>
      <w:pPr>
        <w:spacing w:after="134" w:line="259" w:lineRule="auto"/>
        <w:ind w:left="297" w:hanging="10"/>
        <w:jc w:val="center"/>
        <w:rPr>
          <w:color w:val="auto"/>
          <w:highlight w:val="none"/>
        </w:rPr>
      </w:pPr>
      <w:r>
        <w:rPr>
          <w:color w:val="auto"/>
          <w:sz w:val="25"/>
          <w:highlight w:val="none"/>
        </w:rPr>
        <w:t xml:space="preserve">（非残疾人福利性单位，不需此件） </w:t>
      </w:r>
      <w:r>
        <w:rPr>
          <w:color w:val="auto"/>
          <w:highlight w:val="none"/>
        </w:rPr>
        <w:t xml:space="preserve"> </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勾选）条件的残疾人福利性单位，且本单位参加本项目采购活动提供本单位制造的货物，或者提供其他□符合□不符合（对应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勾选）残疾人福利性单位制造的货物（不包括使用非残疾人福利性单位注册商标的货物）。</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 xml:space="preserve">本单位对上述声明的真实性负责。如有虚假，将依法承担相应责任。 </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p>
    <w:p>
      <w:pPr>
        <w:spacing w:line="360" w:lineRule="auto"/>
        <w:ind w:firstLine="4228" w:firstLineChars="1762"/>
        <w:rPr>
          <w:rFonts w:asciiTheme="minorEastAsia" w:hAnsiTheme="minorEastAsia" w:eastAsiaTheme="minorEastAsia"/>
          <w:b w:val="0"/>
          <w:bCs w:val="0"/>
          <w:color w:val="auto"/>
          <w:sz w:val="24"/>
          <w:highlight w:val="none"/>
          <w:u w:val="single"/>
        </w:rPr>
      </w:pPr>
      <w:r>
        <w:rPr>
          <w:rFonts w:hint="eastAsia" w:asciiTheme="minorEastAsia" w:hAnsiTheme="minorEastAsia" w:eastAsiaTheme="minorEastAsia"/>
          <w:b w:val="0"/>
          <w:bCs w:val="0"/>
          <w:color w:val="auto"/>
          <w:sz w:val="24"/>
          <w:highlight w:val="none"/>
        </w:rPr>
        <w:t>供应商</w:t>
      </w:r>
      <w:r>
        <w:rPr>
          <w:rFonts w:hint="eastAsia" w:asciiTheme="minorEastAsia" w:hAnsiTheme="minorEastAsia" w:eastAsiaTheme="minorEastAsia"/>
          <w:b w:val="0"/>
          <w:bCs w:val="0"/>
          <w:color w:val="auto"/>
          <w:sz w:val="24"/>
          <w:highlight w:val="none"/>
          <w:lang w:val="en-US" w:eastAsia="zh-CN"/>
        </w:rPr>
        <w:t>公</w:t>
      </w:r>
      <w:r>
        <w:rPr>
          <w:rFonts w:hint="eastAsia" w:asciiTheme="minorEastAsia" w:hAnsiTheme="minorEastAsia" w:eastAsiaTheme="minorEastAsia"/>
          <w:b w:val="0"/>
          <w:bCs w:val="0"/>
          <w:color w:val="auto"/>
          <w:sz w:val="24"/>
          <w:highlight w:val="none"/>
        </w:rPr>
        <w:t>章：</w:t>
      </w:r>
      <w:r>
        <w:rPr>
          <w:rFonts w:hint="eastAsia"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b w:val="0"/>
          <w:bCs w:val="0"/>
          <w:color w:val="auto"/>
          <w:sz w:val="24"/>
          <w:highlight w:val="none"/>
          <w:u w:val="single"/>
        </w:rPr>
      </w:pPr>
      <w:r>
        <w:rPr>
          <w:rFonts w:hint="eastAsia" w:asciiTheme="minorEastAsia" w:hAnsiTheme="minorEastAsia" w:eastAsiaTheme="minorEastAsia"/>
          <w:b w:val="0"/>
          <w:bCs w:val="0"/>
          <w:color w:val="auto"/>
          <w:sz w:val="24"/>
          <w:highlight w:val="none"/>
        </w:rPr>
        <w:t xml:space="preserve">日    </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 xml:space="preserve"> </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 xml:space="preserve"> 期：</w:t>
      </w:r>
      <w:r>
        <w:rPr>
          <w:rFonts w:hint="eastAsia" w:asciiTheme="minorEastAsia" w:hAnsiTheme="minorEastAsia" w:eastAsiaTheme="minorEastAsia"/>
          <w:b w:val="0"/>
          <w:bCs w:val="0"/>
          <w:color w:val="auto"/>
          <w:sz w:val="24"/>
          <w:highlight w:val="none"/>
          <w:u w:val="single"/>
        </w:rPr>
        <w:t xml:space="preserve">       </w:t>
      </w:r>
      <w:r>
        <w:rPr>
          <w:rFonts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rPr>
        <w:t xml:space="preserve">    </w:t>
      </w:r>
    </w:p>
    <w:p>
      <w:pPr>
        <w:spacing w:after="152" w:line="259" w:lineRule="auto"/>
        <w:ind w:left="11"/>
        <w:rPr>
          <w:color w:val="auto"/>
          <w:highlight w:val="none"/>
        </w:rPr>
      </w:pPr>
      <w:r>
        <w:rPr>
          <w:color w:val="auto"/>
          <w:highlight w:val="none"/>
        </w:rPr>
        <w:t xml:space="preserve"> </w:t>
      </w:r>
    </w:p>
    <w:p>
      <w:pPr>
        <w:spacing w:after="222"/>
        <w:ind w:left="19" w:right="2"/>
        <w:rPr>
          <w:color w:val="auto"/>
          <w:highlight w:val="none"/>
        </w:rPr>
      </w:pPr>
      <w:r>
        <w:rPr>
          <w:color w:val="auto"/>
          <w:highlight w:val="none"/>
        </w:rPr>
        <w:t xml:space="preserve">备注： </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hint="eastAsia" w:ascii="宋体" w:hAnsi="宋体"/>
          <w:color w:val="auto"/>
          <w:sz w:val="24"/>
          <w:szCs w:val="22"/>
          <w:highlight w:val="none"/>
          <w:lang w:val="zh-CN"/>
        </w:rPr>
        <w:t>对于响应人</w:t>
      </w:r>
      <w:r>
        <w:rPr>
          <w:rFonts w:ascii="宋体" w:hAnsi="宋体"/>
          <w:color w:val="auto"/>
          <w:sz w:val="24"/>
          <w:szCs w:val="22"/>
          <w:highlight w:val="none"/>
          <w:lang w:val="zh-CN"/>
        </w:rPr>
        <w:t>提供的《残疾人福利性单位声明函》与事实不符的，依照《中华人民共和国政府采购法》第七十七条</w:t>
      </w:r>
      <w:r>
        <w:rPr>
          <w:rFonts w:hint="eastAsia" w:ascii="宋体" w:hAnsi="宋体"/>
          <w:color w:val="auto"/>
          <w:sz w:val="24"/>
          <w:szCs w:val="22"/>
          <w:highlight w:val="none"/>
          <w:lang w:val="zh-CN"/>
        </w:rPr>
        <w:t>相关</w:t>
      </w:r>
      <w:r>
        <w:rPr>
          <w:rFonts w:ascii="宋体" w:hAnsi="宋体"/>
          <w:color w:val="auto"/>
          <w:sz w:val="24"/>
          <w:szCs w:val="22"/>
          <w:highlight w:val="none"/>
          <w:lang w:val="zh-CN"/>
        </w:rPr>
        <w:t xml:space="preserve">规定追究法律责任； </w:t>
      </w:r>
    </w:p>
    <w:p>
      <w:pPr>
        <w:ind w:right="480"/>
        <w:jc w:val="center"/>
        <w:rPr>
          <w:rFonts w:ascii="仿宋" w:hAnsi="仿宋" w:eastAsia="仿宋" w:cs="仿宋"/>
          <w:b/>
          <w:bCs/>
          <w:color w:val="auto"/>
          <w:sz w:val="24"/>
          <w:highlight w:val="none"/>
        </w:rPr>
      </w:pPr>
    </w:p>
    <w:p>
      <w:pPr>
        <w:pStyle w:val="74"/>
        <w:rPr>
          <w:rFonts w:ascii="仿宋" w:hAnsi="仿宋" w:eastAsia="仿宋" w:cs="仿宋"/>
          <w:b/>
          <w:bCs/>
          <w:color w:val="auto"/>
          <w:sz w:val="24"/>
          <w:highlight w:val="none"/>
        </w:rPr>
      </w:pPr>
    </w:p>
    <w:p>
      <w:pPr>
        <w:pStyle w:val="74"/>
        <w:rPr>
          <w:rFonts w:ascii="仿宋" w:hAnsi="仿宋" w:eastAsia="仿宋" w:cs="仿宋"/>
          <w:b/>
          <w:bCs/>
          <w:color w:val="auto"/>
          <w:sz w:val="24"/>
          <w:highlight w:val="none"/>
        </w:rPr>
      </w:pPr>
    </w:p>
    <w:p>
      <w:pPr>
        <w:pStyle w:val="74"/>
        <w:rPr>
          <w:rFonts w:ascii="仿宋" w:hAnsi="仿宋" w:eastAsia="仿宋" w:cs="仿宋"/>
          <w:b/>
          <w:bCs/>
          <w:color w:val="auto"/>
          <w:sz w:val="24"/>
          <w:highlight w:val="none"/>
        </w:rPr>
      </w:pPr>
    </w:p>
    <w:p>
      <w:pPr>
        <w:pStyle w:val="74"/>
        <w:rPr>
          <w:rFonts w:ascii="仿宋" w:hAnsi="仿宋" w:eastAsia="仿宋" w:cs="仿宋"/>
          <w:b/>
          <w:bCs/>
          <w:color w:val="auto"/>
          <w:sz w:val="24"/>
          <w:highlight w:val="none"/>
        </w:rPr>
      </w:pPr>
    </w:p>
    <w:p>
      <w:pPr>
        <w:pStyle w:val="74"/>
        <w:rPr>
          <w:rFonts w:ascii="仿宋" w:hAnsi="仿宋" w:eastAsia="仿宋" w:cs="仿宋"/>
          <w:b/>
          <w:bCs/>
          <w:color w:val="auto"/>
          <w:sz w:val="24"/>
          <w:highlight w:val="none"/>
        </w:rPr>
      </w:pPr>
    </w:p>
    <w:p>
      <w:pPr>
        <w:ind w:right="480"/>
        <w:jc w:val="both"/>
        <w:rPr>
          <w:rFonts w:ascii="仿宋" w:hAnsi="仿宋" w:eastAsia="仿宋" w:cs="仿宋"/>
          <w:b/>
          <w:bCs/>
          <w:color w:val="auto"/>
          <w:sz w:val="24"/>
          <w:highlight w:val="none"/>
        </w:rPr>
      </w:pPr>
    </w:p>
    <w:p>
      <w:pPr>
        <w:pStyle w:val="8"/>
        <w:numPr>
          <w:ilvl w:val="0"/>
          <w:numId w:val="0"/>
        </w:numPr>
        <w:shd w:val="clear" w:color="auto" w:fill="FFFFFF"/>
        <w:ind w:left="420" w:leftChars="0"/>
        <w:jc w:val="center"/>
        <w:rPr>
          <w:rFonts w:hint="eastAsia"/>
          <w:color w:val="auto"/>
          <w:highlight w:val="none"/>
          <w:lang w:val="en-US" w:eastAsia="zh-CN"/>
        </w:rPr>
      </w:pPr>
      <w:r>
        <w:rPr>
          <w:rFonts w:hint="eastAsia"/>
          <w:color w:val="auto"/>
          <w:sz w:val="28"/>
          <w:szCs w:val="28"/>
          <w:highlight w:val="none"/>
          <w:lang w:val="en-US" w:eastAsia="zh-CN"/>
        </w:rPr>
        <w:t>九、供应商声明函</w:t>
      </w:r>
    </w:p>
    <w:p>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磋商</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pPr>
        <w:spacing w:line="360" w:lineRule="auto"/>
        <w:ind w:firstLine="4228" w:firstLineChars="1762"/>
        <w:rPr>
          <w:rFonts w:asciiTheme="minorEastAsia" w:hAnsiTheme="minorEastAsia" w:eastAsiaTheme="minorEastAsia"/>
          <w:b w:val="0"/>
          <w:bCs w:val="0"/>
          <w:color w:val="auto"/>
          <w:sz w:val="24"/>
          <w:highlight w:val="none"/>
          <w:u w:val="single"/>
        </w:rPr>
      </w:pPr>
      <w:r>
        <w:rPr>
          <w:rFonts w:hint="eastAsia" w:asciiTheme="minorEastAsia" w:hAnsiTheme="minorEastAsia" w:eastAsiaTheme="minorEastAsia"/>
          <w:b w:val="0"/>
          <w:bCs w:val="0"/>
          <w:color w:val="auto"/>
          <w:sz w:val="24"/>
          <w:highlight w:val="none"/>
        </w:rPr>
        <w:t>供应商</w:t>
      </w:r>
      <w:r>
        <w:rPr>
          <w:rFonts w:hint="eastAsia" w:asciiTheme="minorEastAsia" w:hAnsiTheme="minorEastAsia" w:eastAsiaTheme="minorEastAsia"/>
          <w:b w:val="0"/>
          <w:bCs w:val="0"/>
          <w:color w:val="auto"/>
          <w:sz w:val="24"/>
          <w:highlight w:val="none"/>
          <w:lang w:val="en-US" w:eastAsia="zh-CN"/>
        </w:rPr>
        <w:t>公</w:t>
      </w:r>
      <w:r>
        <w:rPr>
          <w:rFonts w:hint="eastAsia" w:asciiTheme="minorEastAsia" w:hAnsiTheme="minorEastAsia" w:eastAsiaTheme="minorEastAsia"/>
          <w:b w:val="0"/>
          <w:bCs w:val="0"/>
          <w:color w:val="auto"/>
          <w:sz w:val="24"/>
          <w:highlight w:val="none"/>
        </w:rPr>
        <w:t>章：</w:t>
      </w:r>
      <w:r>
        <w:rPr>
          <w:rFonts w:hint="eastAsia"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b w:val="0"/>
          <w:bCs w:val="0"/>
          <w:color w:val="auto"/>
          <w:sz w:val="24"/>
          <w:highlight w:val="none"/>
          <w:u w:val="single"/>
        </w:rPr>
      </w:pPr>
      <w:r>
        <w:rPr>
          <w:rFonts w:hint="eastAsia" w:asciiTheme="minorEastAsia" w:hAnsiTheme="minorEastAsia" w:eastAsiaTheme="minorEastAsia"/>
          <w:b w:val="0"/>
          <w:bCs w:val="0"/>
          <w:color w:val="auto"/>
          <w:sz w:val="24"/>
          <w:highlight w:val="none"/>
        </w:rPr>
        <w:t xml:space="preserve">日    </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 xml:space="preserve"> </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 xml:space="preserve"> 期：</w:t>
      </w:r>
      <w:r>
        <w:rPr>
          <w:rFonts w:hint="eastAsia" w:asciiTheme="minorEastAsia" w:hAnsiTheme="minorEastAsia" w:eastAsiaTheme="minorEastAsia"/>
          <w:b w:val="0"/>
          <w:bCs w:val="0"/>
          <w:color w:val="auto"/>
          <w:sz w:val="24"/>
          <w:highlight w:val="none"/>
          <w:u w:val="single"/>
        </w:rPr>
        <w:t xml:space="preserve">       </w:t>
      </w:r>
      <w:r>
        <w:rPr>
          <w:rFonts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rPr>
        <w:t xml:space="preserve">    </w:t>
      </w:r>
    </w:p>
    <w:p>
      <w:pPr>
        <w:spacing w:line="360" w:lineRule="auto"/>
        <w:jc w:val="center"/>
        <w:outlineLvl w:val="1"/>
        <w:rPr>
          <w:rFonts w:hint="eastAsia" w:asciiTheme="minorEastAsia" w:hAnsiTheme="minorEastAsia" w:eastAsiaTheme="minorEastAsia"/>
          <w:b/>
          <w:color w:val="auto"/>
          <w:sz w:val="28"/>
          <w:szCs w:val="28"/>
          <w:highlight w:val="none"/>
          <w:lang w:eastAsia="zh-CN"/>
        </w:rPr>
      </w:pPr>
    </w:p>
    <w:p>
      <w:pPr>
        <w:pStyle w:val="74"/>
        <w:rPr>
          <w:rFonts w:hint="eastAsia"/>
          <w:color w:val="auto"/>
          <w:highlight w:val="none"/>
          <w:lang w:eastAsia="zh-CN"/>
        </w:rPr>
      </w:pPr>
    </w:p>
    <w:p>
      <w:pPr>
        <w:pStyle w:val="74"/>
        <w:rPr>
          <w:rFonts w:hint="eastAsia"/>
          <w:color w:val="auto"/>
          <w:highlight w:val="none"/>
          <w:lang w:eastAsia="zh-CN"/>
        </w:rPr>
      </w:pPr>
    </w:p>
    <w:p>
      <w:pPr>
        <w:pStyle w:val="74"/>
        <w:rPr>
          <w:rFonts w:hint="eastAsia"/>
          <w:color w:val="auto"/>
          <w:highlight w:val="none"/>
          <w:lang w:eastAsia="zh-CN"/>
        </w:rPr>
      </w:pPr>
    </w:p>
    <w:p>
      <w:pPr>
        <w:spacing w:line="360" w:lineRule="auto"/>
        <w:jc w:val="center"/>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十</w:t>
      </w:r>
      <w:r>
        <w:rPr>
          <w:rFonts w:hint="eastAsia" w:asciiTheme="minorEastAsia" w:hAnsiTheme="minorEastAsia" w:eastAsiaTheme="minorEastAsia"/>
          <w:b/>
          <w:color w:val="auto"/>
          <w:sz w:val="28"/>
          <w:szCs w:val="28"/>
          <w:highlight w:val="none"/>
        </w:rPr>
        <w:t>、联合</w:t>
      </w:r>
      <w:r>
        <w:rPr>
          <w:rFonts w:hint="eastAsia" w:asciiTheme="minorEastAsia" w:hAnsiTheme="minorEastAsia" w:eastAsiaTheme="minorEastAsia"/>
          <w:b/>
          <w:color w:val="auto"/>
          <w:sz w:val="28"/>
          <w:szCs w:val="28"/>
          <w:highlight w:val="none"/>
          <w:lang w:val="en-US" w:eastAsia="zh-CN"/>
        </w:rPr>
        <w:t>体</w:t>
      </w:r>
      <w:r>
        <w:rPr>
          <w:rFonts w:hint="eastAsia" w:asciiTheme="minorEastAsia" w:hAnsiTheme="minorEastAsia" w:eastAsiaTheme="minorEastAsia"/>
          <w:b/>
          <w:color w:val="auto"/>
          <w:sz w:val="28"/>
          <w:szCs w:val="28"/>
          <w:highlight w:val="none"/>
        </w:rPr>
        <w:t>协议</w:t>
      </w:r>
    </w:p>
    <w:p>
      <w:pPr>
        <w:pStyle w:val="43"/>
        <w:spacing w:line="360" w:lineRule="auto"/>
        <w:rPr>
          <w:rFonts w:asciiTheme="minorEastAsia" w:hAnsiTheme="minorEastAsia" w:eastAsiaTheme="minorEastAsia"/>
          <w:color w:val="auto"/>
          <w:sz w:val="24"/>
          <w:highlight w:val="none"/>
        </w:rPr>
      </w:pPr>
      <w:r>
        <w:rPr>
          <w:rFonts w:hint="eastAsia" w:ascii="宋体" w:hAnsi="宋体" w:eastAsia="宋体"/>
          <w:b w:val="0"/>
          <w:i/>
          <w:color w:val="auto"/>
          <w:sz w:val="24"/>
          <w:highlight w:val="none"/>
        </w:rPr>
        <w:t>（不允许联合体参加磋商或未组成联合体的，不需此件；允许联合体参加磋商且供应商为联合体参加磋商的，请将此件加盖公章后制成扫描件上传）</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pPr>
        <w:spacing w:line="360" w:lineRule="auto"/>
        <w:ind w:right="480" w:firstLine="5520" w:firstLineChars="2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pPr>
        <w:pStyle w:val="8"/>
        <w:shd w:val="clear" w:color="auto" w:fill="FFFFFF"/>
        <w:jc w:val="center"/>
        <w:rPr>
          <w:rFonts w:hint="eastAsia"/>
          <w:color w:val="auto"/>
          <w:sz w:val="28"/>
          <w:szCs w:val="28"/>
          <w:highlight w:val="none"/>
          <w:lang w:val="en-US" w:eastAsia="zh-CN"/>
        </w:rPr>
        <w:sectPr>
          <w:footerReference r:id="rId11" w:type="default"/>
          <w:pgSz w:w="11906" w:h="16838"/>
          <w:pgMar w:top="1418" w:right="1418" w:bottom="1276" w:left="1418" w:header="680" w:footer="680" w:gutter="0"/>
          <w:pgNumType w:fmt="decimal"/>
          <w:cols w:space="720" w:num="1"/>
          <w:docGrid w:type="lines" w:linePitch="312" w:charSpace="0"/>
        </w:sectPr>
      </w:pPr>
      <w:bookmarkStart w:id="263" w:name="_Toc26186"/>
      <w:bookmarkStart w:id="264" w:name="_Toc22272"/>
    </w:p>
    <w:p>
      <w:pPr>
        <w:pStyle w:val="8"/>
        <w:shd w:val="clear" w:color="auto" w:fill="FFFFFF"/>
        <w:jc w:val="center"/>
        <w:rPr>
          <w:rFonts w:hint="eastAsia"/>
          <w:color w:val="auto"/>
          <w:sz w:val="28"/>
          <w:szCs w:val="28"/>
          <w:highlight w:val="none"/>
          <w:lang w:val="en-US" w:eastAsia="zh-CN"/>
        </w:rPr>
      </w:pPr>
      <w:r>
        <w:rPr>
          <w:rFonts w:hint="eastAsia"/>
          <w:color w:val="auto"/>
          <w:sz w:val="28"/>
          <w:szCs w:val="28"/>
          <w:highlight w:val="none"/>
          <w:lang w:val="en-US" w:eastAsia="zh-CN"/>
        </w:rPr>
        <w:t>十一、证明</w:t>
      </w:r>
      <w:bookmarkEnd w:id="263"/>
      <w:bookmarkEnd w:id="264"/>
      <w:r>
        <w:rPr>
          <w:rFonts w:hint="eastAsia"/>
          <w:color w:val="auto"/>
          <w:sz w:val="28"/>
          <w:szCs w:val="28"/>
          <w:highlight w:val="none"/>
          <w:lang w:val="en-US" w:eastAsia="zh-CN"/>
        </w:rPr>
        <w:t>资料</w:t>
      </w:r>
    </w:p>
    <w:p>
      <w:pPr>
        <w:spacing w:line="360" w:lineRule="auto"/>
        <w:ind w:firstLine="420" w:firstLineChars="200"/>
        <w:rPr>
          <w:rFonts w:hint="eastAsia" w:ascii="宋体" w:hAnsi="宋体"/>
          <w:color w:val="auto"/>
          <w:szCs w:val="21"/>
          <w:highlight w:val="none"/>
          <w:lang w:val="en-US" w:eastAsia="zh-CN"/>
        </w:rPr>
      </w:pPr>
    </w:p>
    <w:p>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1、磋商公告中申请人资格要求证明材料，包含但不限于营业执照、税务登记证、特定资格要求中的证明材料。</w:t>
      </w:r>
    </w:p>
    <w:p>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2、授权书（格式详见附件01）及其委托代理人有效二代居民身份证。</w:t>
      </w:r>
    </w:p>
    <w:p>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3、本项目竞争性磋商文件中要求供应商提供的其他证明材料。</w:t>
      </w:r>
    </w:p>
    <w:p>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4、须提供上述证明材料复印件或扫描件或影印件，加盖供应商公章。</w:t>
      </w:r>
    </w:p>
    <w:p>
      <w:pPr>
        <w:pStyle w:val="74"/>
        <w:rPr>
          <w:rFonts w:hint="default"/>
          <w:color w:val="auto"/>
          <w:highlight w:val="none"/>
          <w:lang w:val="en-US" w:eastAsia="zh-CN"/>
        </w:rPr>
      </w:pPr>
    </w:p>
    <w:p>
      <w:pPr>
        <w:pStyle w:val="74"/>
        <w:rPr>
          <w:rFonts w:hint="default"/>
          <w:color w:val="auto"/>
          <w:highlight w:val="none"/>
          <w:lang w:val="en-US" w:eastAsia="zh-CN"/>
        </w:rPr>
      </w:pPr>
    </w:p>
    <w:p>
      <w:pPr>
        <w:widowControl/>
        <w:jc w:val="left"/>
        <w:rPr>
          <w:rFonts w:ascii="宋体" w:hAnsi="宋体"/>
          <w:color w:val="auto"/>
          <w:szCs w:val="21"/>
          <w:highlight w:val="none"/>
        </w:rPr>
      </w:pPr>
      <w:r>
        <w:rPr>
          <w:rFonts w:ascii="宋体" w:hAnsi="宋体"/>
          <w:color w:val="auto"/>
          <w:szCs w:val="21"/>
          <w:highlight w:val="none"/>
        </w:rPr>
        <w:br w:type="page"/>
      </w:r>
    </w:p>
    <w:p>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磋商</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参与磋商</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pPr>
        <w:spacing w:line="360" w:lineRule="auto"/>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pPr>
        <w:spacing w:line="360" w:lineRule="auto"/>
        <w:ind w:firstLine="435"/>
        <w:rPr>
          <w:rFonts w:hAnsi="宋体"/>
          <w:color w:val="auto"/>
          <w:sz w:val="24"/>
          <w:szCs w:val="28"/>
          <w:highlight w:val="none"/>
          <w:lang w:val="zh-CN"/>
        </w:rPr>
      </w:pPr>
    </w:p>
    <w:p>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pPr>
        <w:spacing w:line="360" w:lineRule="auto"/>
        <w:rPr>
          <w:rFonts w:ascii="宋体" w:hAnsi="宋体"/>
          <w:color w:val="auto"/>
          <w:sz w:val="24"/>
          <w:szCs w:val="28"/>
          <w:highlight w:val="none"/>
        </w:rPr>
      </w:pPr>
    </w:p>
    <w:p>
      <w:pPr>
        <w:spacing w:line="360" w:lineRule="auto"/>
        <w:ind w:firstLine="435"/>
        <w:rPr>
          <w:rFonts w:ascii="宋体" w:hAnsi="宋体"/>
          <w:bCs/>
          <w:color w:val="auto"/>
          <w:sz w:val="24"/>
          <w:szCs w:val="28"/>
          <w:highlight w:val="none"/>
          <w:u w:val="single"/>
        </w:rPr>
      </w:pPr>
      <w:r>
        <w:rPr>
          <w:rFonts w:hint="eastAsia" w:ascii="宋体" w:hAnsi="宋体"/>
          <w:bCs/>
          <w:color w:val="auto"/>
          <w:sz w:val="24"/>
          <w:szCs w:val="28"/>
          <w:highlight w:val="none"/>
          <w:lang w:val="en-US" w:eastAsia="zh-CN"/>
        </w:rPr>
        <w:t>供应商公章</w:t>
      </w:r>
      <w:r>
        <w:rPr>
          <w:rFonts w:hint="eastAsia" w:ascii="宋体" w:hAnsi="宋体"/>
          <w:bCs/>
          <w:color w:val="auto"/>
          <w:sz w:val="24"/>
          <w:szCs w:val="28"/>
          <w:highlight w:val="none"/>
        </w:rPr>
        <w:t>：</w:t>
      </w:r>
      <w:r>
        <w:rPr>
          <w:rFonts w:hint="eastAsia" w:ascii="宋体" w:hAnsi="宋体"/>
          <w:bCs/>
          <w:color w:val="auto"/>
          <w:sz w:val="24"/>
          <w:szCs w:val="28"/>
          <w:highlight w:val="none"/>
          <w:u w:val="single"/>
        </w:rPr>
        <w:t xml:space="preserve">                </w:t>
      </w:r>
      <w:r>
        <w:rPr>
          <w:rFonts w:hint="eastAsia" w:ascii="宋体" w:hAnsi="宋体"/>
          <w:bCs/>
          <w:color w:val="auto"/>
          <w:sz w:val="24"/>
          <w:szCs w:val="28"/>
          <w:highlight w:val="none"/>
          <w:u w:val="single"/>
          <w:lang w:val="en-US" w:eastAsia="zh-CN"/>
        </w:rPr>
        <w:t xml:space="preserve">    </w:t>
      </w:r>
      <w:r>
        <w:rPr>
          <w:rFonts w:hint="eastAsia" w:ascii="宋体" w:hAnsi="宋体"/>
          <w:bCs/>
          <w:color w:val="auto"/>
          <w:sz w:val="24"/>
          <w:szCs w:val="28"/>
          <w:highlight w:val="none"/>
          <w:u w:val="single"/>
        </w:rPr>
        <w:t xml:space="preserve">    </w:t>
      </w:r>
    </w:p>
    <w:p>
      <w:pPr>
        <w:spacing w:line="360" w:lineRule="auto"/>
        <w:ind w:firstLine="435"/>
        <w:rPr>
          <w:rFonts w:ascii="宋体" w:hAnsi="宋体"/>
          <w:color w:val="auto"/>
          <w:sz w:val="24"/>
          <w:szCs w:val="28"/>
          <w:highlight w:val="none"/>
        </w:rPr>
      </w:pPr>
      <w:r>
        <w:rPr>
          <w:rFonts w:hint="eastAsia" w:ascii="宋体" w:hAnsi="宋体"/>
          <w:color w:val="auto"/>
          <w:sz w:val="24"/>
          <w:szCs w:val="28"/>
          <w:highlight w:val="none"/>
        </w:rPr>
        <w:t>日          期：</w:t>
      </w:r>
      <w:r>
        <w:rPr>
          <w:rFonts w:hint="eastAsia" w:ascii="宋体" w:hAnsi="宋体"/>
          <w:b/>
          <w:bCs/>
          <w:color w:val="auto"/>
          <w:sz w:val="24"/>
          <w:szCs w:val="28"/>
          <w:highlight w:val="none"/>
          <w:u w:val="single"/>
        </w:rPr>
        <w:t xml:space="preserve">                    </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pPr>
        <w:rPr>
          <w:rFonts w:hint="eastAsia"/>
          <w:color w:val="auto"/>
          <w:highlight w:val="none"/>
          <w:lang w:val="en-US" w:eastAsia="zh-CN"/>
        </w:rPr>
      </w:pPr>
      <w:bookmarkStart w:id="265" w:name="_Toc8573"/>
      <w:bookmarkStart w:id="266" w:name="_Toc2700"/>
      <w:bookmarkStart w:id="267" w:name="_Toc12703"/>
      <w:bookmarkStart w:id="268" w:name="_Toc32741"/>
      <w:r>
        <w:rPr>
          <w:rFonts w:hint="eastAsia"/>
          <w:color w:val="auto"/>
          <w:highlight w:val="none"/>
          <w:lang w:val="en-US" w:eastAsia="zh-CN"/>
        </w:rPr>
        <w:br w:type="page"/>
      </w:r>
    </w:p>
    <w:p>
      <w:pPr>
        <w:pStyle w:val="2"/>
        <w:numPr>
          <w:ilvl w:val="0"/>
          <w:numId w:val="0"/>
        </w:numPr>
        <w:tabs>
          <w:tab w:val="clear" w:pos="1440"/>
          <w:tab w:val="clear" w:pos="5670"/>
        </w:tabs>
        <w:jc w:val="center"/>
        <w:rPr>
          <w:color w:val="auto"/>
          <w:highlight w:val="none"/>
        </w:rPr>
      </w:pPr>
      <w:r>
        <w:rPr>
          <w:rFonts w:hint="eastAsia"/>
          <w:color w:val="auto"/>
          <w:highlight w:val="none"/>
          <w:lang w:val="en-US" w:eastAsia="zh-CN"/>
        </w:rPr>
        <w:t xml:space="preserve">第七章  </w:t>
      </w:r>
      <w:r>
        <w:rPr>
          <w:rFonts w:hint="eastAsia"/>
          <w:color w:val="auto"/>
          <w:highlight w:val="none"/>
        </w:rPr>
        <w:t>政府采购供应商质疑函范本</w:t>
      </w:r>
      <w:bookmarkEnd w:id="265"/>
      <w:bookmarkEnd w:id="266"/>
      <w:bookmarkEnd w:id="267"/>
      <w:bookmarkEnd w:id="268"/>
    </w:p>
    <w:p>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ordWrap w:val="0"/>
        <w:spacing w:line="360" w:lineRule="auto"/>
        <w:ind w:right="480" w:firstLine="420" w:firstLineChars="200"/>
        <w:rPr>
          <w:rFonts w:ascii="宋体" w:hAnsi="宋体"/>
          <w:color w:val="auto"/>
          <w:szCs w:val="21"/>
          <w:highlight w:val="none"/>
        </w:rPr>
      </w:pPr>
    </w:p>
    <w:p>
      <w:pPr>
        <w:spacing w:line="360" w:lineRule="auto"/>
        <w:jc w:val="center"/>
        <w:rPr>
          <w:rFonts w:ascii="仿宋" w:hAnsi="仿宋" w:eastAsia="仿宋"/>
          <w:b/>
          <w:color w:val="auto"/>
          <w:spacing w:val="20"/>
          <w:sz w:val="36"/>
          <w:szCs w:val="36"/>
          <w:highlight w:val="none"/>
          <w:u w:val="single"/>
        </w:rPr>
      </w:pPr>
    </w:p>
    <w:p>
      <w:pPr>
        <w:ind w:right="480"/>
        <w:jc w:val="right"/>
        <w:rPr>
          <w:rFonts w:ascii="仿宋" w:hAnsi="仿宋" w:eastAsia="仿宋" w:cs="仿宋"/>
          <w:b/>
          <w:bCs/>
          <w:color w:val="auto"/>
          <w:sz w:val="24"/>
          <w:highlight w:val="none"/>
        </w:rPr>
      </w:pPr>
    </w:p>
    <w:p>
      <w:pPr>
        <w:rPr>
          <w:color w:val="auto"/>
          <w:highlight w:val="none"/>
        </w:rPr>
      </w:pPr>
    </w:p>
    <w:p>
      <w:pPr>
        <w:spacing w:line="360" w:lineRule="auto"/>
        <w:ind w:firstLine="630" w:firstLineChars="300"/>
        <w:rPr>
          <w:rFonts w:ascii="宋体" w:hAnsi="宋体" w:cs="宋体"/>
          <w:color w:val="auto"/>
          <w:szCs w:val="21"/>
          <w:highlight w:val="none"/>
        </w:rPr>
      </w:pPr>
    </w:p>
    <w:p>
      <w:pPr>
        <w:spacing w:line="360" w:lineRule="auto"/>
        <w:ind w:firstLine="630" w:firstLineChars="300"/>
        <w:rPr>
          <w:rFonts w:ascii="宋体" w:hAnsi="宋体" w:cs="宋体"/>
          <w:szCs w:val="21"/>
        </w:rPr>
      </w:pPr>
    </w:p>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tabs>
        <w:tab w:val="left" w:pos="628"/>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CFFA2695"/>
    <w:multiLevelType w:val="singleLevel"/>
    <w:tmpl w:val="CFFA2695"/>
    <w:lvl w:ilvl="0" w:tentative="0">
      <w:start w:val="1"/>
      <w:numFmt w:val="decimal"/>
      <w:suff w:val="nothing"/>
      <w:lvlText w:val="%1、"/>
      <w:lvlJc w:val="left"/>
    </w:lvl>
  </w:abstractNum>
  <w:abstractNum w:abstractNumId="2">
    <w:nsid w:val="00000001"/>
    <w:multiLevelType w:val="multilevel"/>
    <w:tmpl w:val="00000001"/>
    <w:lvl w:ilvl="0" w:tentative="0">
      <w:start w:val="1"/>
      <w:numFmt w:val="bullet"/>
      <w:pStyle w:val="32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57"/>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pPr>
        <w:ind w:left="-60"/>
      </w:pPr>
      <w:rPr>
        <w:rFonts w:cs="Times New Roman"/>
      </w:rPr>
    </w:lvl>
  </w:abstractNum>
  <w:abstractNum w:abstractNumId="5">
    <w:nsid w:val="0000000D"/>
    <w:multiLevelType w:val="singleLevel"/>
    <w:tmpl w:val="0000000D"/>
    <w:lvl w:ilvl="0" w:tentative="0">
      <w:start w:val="2"/>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44"/>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2"/>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24366283"/>
    <w:multiLevelType w:val="multilevel"/>
    <w:tmpl w:val="24366283"/>
    <w:lvl w:ilvl="0" w:tentative="0">
      <w:start w:val="1"/>
      <w:numFmt w:val="decimal"/>
      <w:pStyle w:val="349"/>
      <w:lvlText w:val="%1"/>
      <w:lvlJc w:val="left"/>
      <w:pPr>
        <w:tabs>
          <w:tab w:val="left" w:pos="567"/>
        </w:tabs>
        <w:ind w:left="567" w:hanging="567"/>
      </w:pPr>
      <w:rPr>
        <w:rFonts w:hint="eastAsia" w:cs="Times New Roman"/>
      </w:rPr>
    </w:lvl>
    <w:lvl w:ilvl="1" w:tentative="0">
      <w:start w:val="1"/>
      <w:numFmt w:val="decimal"/>
      <w:pStyle w:val="346"/>
      <w:lvlText w:val="%1.%2"/>
      <w:lvlJc w:val="left"/>
      <w:pPr>
        <w:tabs>
          <w:tab w:val="left" w:pos="1004"/>
        </w:tabs>
        <w:ind w:left="567" w:hanging="283"/>
      </w:pPr>
      <w:rPr>
        <w:rFonts w:hint="eastAsia" w:cs="Times New Roman"/>
      </w:rPr>
    </w:lvl>
    <w:lvl w:ilvl="2" w:tentative="0">
      <w:start w:val="1"/>
      <w:numFmt w:val="decimal"/>
      <w:pStyle w:val="345"/>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6"/>
  </w:num>
  <w:num w:numId="3">
    <w:abstractNumId w:val="8"/>
  </w:num>
  <w:num w:numId="4">
    <w:abstractNumId w:val="3"/>
  </w:num>
  <w:num w:numId="5">
    <w:abstractNumId w:val="0"/>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mEwMjNhNWU1NmE2YTZkMmJmZWNlMTBkYjM5MzY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02A0"/>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37D27"/>
    <w:rsid w:val="00642C79"/>
    <w:rsid w:val="006443D9"/>
    <w:rsid w:val="00660ECC"/>
    <w:rsid w:val="006729F3"/>
    <w:rsid w:val="006809E1"/>
    <w:rsid w:val="00681E5A"/>
    <w:rsid w:val="00693ACE"/>
    <w:rsid w:val="006A479F"/>
    <w:rsid w:val="006A64BB"/>
    <w:rsid w:val="006B1B74"/>
    <w:rsid w:val="006B3D08"/>
    <w:rsid w:val="006B43C0"/>
    <w:rsid w:val="006B7F14"/>
    <w:rsid w:val="006C09C6"/>
    <w:rsid w:val="006C6A6D"/>
    <w:rsid w:val="006D61A6"/>
    <w:rsid w:val="006E68C8"/>
    <w:rsid w:val="006F7843"/>
    <w:rsid w:val="00714994"/>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3CF8"/>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62C3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0920"/>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461F7B"/>
    <w:rsid w:val="01A34A94"/>
    <w:rsid w:val="023636B1"/>
    <w:rsid w:val="02427F54"/>
    <w:rsid w:val="02AF69EA"/>
    <w:rsid w:val="02D634CE"/>
    <w:rsid w:val="03433B9C"/>
    <w:rsid w:val="03DA622F"/>
    <w:rsid w:val="043E231B"/>
    <w:rsid w:val="04500CD8"/>
    <w:rsid w:val="04A67F3A"/>
    <w:rsid w:val="04F454C6"/>
    <w:rsid w:val="051B4DD2"/>
    <w:rsid w:val="058101E9"/>
    <w:rsid w:val="05C43773"/>
    <w:rsid w:val="05DD4740"/>
    <w:rsid w:val="05E50B5A"/>
    <w:rsid w:val="062B7E25"/>
    <w:rsid w:val="06817C74"/>
    <w:rsid w:val="069F23FC"/>
    <w:rsid w:val="06B833C2"/>
    <w:rsid w:val="07176877"/>
    <w:rsid w:val="07B313D2"/>
    <w:rsid w:val="085B1334"/>
    <w:rsid w:val="086F54F4"/>
    <w:rsid w:val="093D0ADF"/>
    <w:rsid w:val="09BB195E"/>
    <w:rsid w:val="09E362D2"/>
    <w:rsid w:val="0A111071"/>
    <w:rsid w:val="0A1E4E03"/>
    <w:rsid w:val="0B021280"/>
    <w:rsid w:val="0B104356"/>
    <w:rsid w:val="0B4D1F58"/>
    <w:rsid w:val="0B552B5C"/>
    <w:rsid w:val="0C296476"/>
    <w:rsid w:val="0C346B5F"/>
    <w:rsid w:val="0C825283"/>
    <w:rsid w:val="0C931AD8"/>
    <w:rsid w:val="0D773927"/>
    <w:rsid w:val="0D844B1B"/>
    <w:rsid w:val="0DA675CE"/>
    <w:rsid w:val="0DB26049"/>
    <w:rsid w:val="0E520FBD"/>
    <w:rsid w:val="0EB14497"/>
    <w:rsid w:val="0EF95566"/>
    <w:rsid w:val="0FBF49A2"/>
    <w:rsid w:val="10CC380A"/>
    <w:rsid w:val="110C1E59"/>
    <w:rsid w:val="11F1366B"/>
    <w:rsid w:val="123B6885"/>
    <w:rsid w:val="123E0C42"/>
    <w:rsid w:val="12443874"/>
    <w:rsid w:val="12BB30E1"/>
    <w:rsid w:val="12CE11AA"/>
    <w:rsid w:val="13242E4C"/>
    <w:rsid w:val="138C7166"/>
    <w:rsid w:val="13B31514"/>
    <w:rsid w:val="144C37E6"/>
    <w:rsid w:val="14794C25"/>
    <w:rsid w:val="149208C7"/>
    <w:rsid w:val="14D656CA"/>
    <w:rsid w:val="15065786"/>
    <w:rsid w:val="15211C4B"/>
    <w:rsid w:val="156B1418"/>
    <w:rsid w:val="15810F42"/>
    <w:rsid w:val="15E24861"/>
    <w:rsid w:val="168D1E3A"/>
    <w:rsid w:val="1727190A"/>
    <w:rsid w:val="17586E1A"/>
    <w:rsid w:val="17811C4F"/>
    <w:rsid w:val="17FC63C1"/>
    <w:rsid w:val="183A54FD"/>
    <w:rsid w:val="1858180A"/>
    <w:rsid w:val="18694035"/>
    <w:rsid w:val="18722EE9"/>
    <w:rsid w:val="18B51028"/>
    <w:rsid w:val="18F82798"/>
    <w:rsid w:val="19C4349D"/>
    <w:rsid w:val="1A147FD0"/>
    <w:rsid w:val="1ABA4CF6"/>
    <w:rsid w:val="1AE14343"/>
    <w:rsid w:val="1B522ECD"/>
    <w:rsid w:val="1BB92BDD"/>
    <w:rsid w:val="1BC80A07"/>
    <w:rsid w:val="1BCB0C12"/>
    <w:rsid w:val="1BE970F8"/>
    <w:rsid w:val="1C4E1577"/>
    <w:rsid w:val="1C764FFA"/>
    <w:rsid w:val="1CB17D58"/>
    <w:rsid w:val="1CD72439"/>
    <w:rsid w:val="1D660B43"/>
    <w:rsid w:val="1DF57465"/>
    <w:rsid w:val="1EDB1E02"/>
    <w:rsid w:val="1FD5665A"/>
    <w:rsid w:val="1FDE63B9"/>
    <w:rsid w:val="1FDF52AF"/>
    <w:rsid w:val="1FE01FA9"/>
    <w:rsid w:val="20AE3E62"/>
    <w:rsid w:val="20FE7045"/>
    <w:rsid w:val="214F4B32"/>
    <w:rsid w:val="219E6AFD"/>
    <w:rsid w:val="22774617"/>
    <w:rsid w:val="228F15A2"/>
    <w:rsid w:val="23186D33"/>
    <w:rsid w:val="23CF3606"/>
    <w:rsid w:val="25545725"/>
    <w:rsid w:val="25873673"/>
    <w:rsid w:val="26404627"/>
    <w:rsid w:val="27427876"/>
    <w:rsid w:val="27913256"/>
    <w:rsid w:val="27AE55C0"/>
    <w:rsid w:val="27F7F972"/>
    <w:rsid w:val="28254308"/>
    <w:rsid w:val="282E5E65"/>
    <w:rsid w:val="28F55599"/>
    <w:rsid w:val="298D2933"/>
    <w:rsid w:val="298F1C43"/>
    <w:rsid w:val="2A3E287E"/>
    <w:rsid w:val="2A6B6FC6"/>
    <w:rsid w:val="2A6D1762"/>
    <w:rsid w:val="2A741FBC"/>
    <w:rsid w:val="2A8940C2"/>
    <w:rsid w:val="2AB6439E"/>
    <w:rsid w:val="2B1A467E"/>
    <w:rsid w:val="2B5B534A"/>
    <w:rsid w:val="2B7D3090"/>
    <w:rsid w:val="2C2045B2"/>
    <w:rsid w:val="2C5379A3"/>
    <w:rsid w:val="2C722710"/>
    <w:rsid w:val="2C9E3E55"/>
    <w:rsid w:val="2D175FF3"/>
    <w:rsid w:val="2D2B7F01"/>
    <w:rsid w:val="2D4F1E09"/>
    <w:rsid w:val="2DC071FE"/>
    <w:rsid w:val="2DC53663"/>
    <w:rsid w:val="2DDB340F"/>
    <w:rsid w:val="2DF751F3"/>
    <w:rsid w:val="2E891740"/>
    <w:rsid w:val="2EBDB251"/>
    <w:rsid w:val="2ED55B28"/>
    <w:rsid w:val="2ED75A9F"/>
    <w:rsid w:val="2EE34460"/>
    <w:rsid w:val="2F067C38"/>
    <w:rsid w:val="2F5842D0"/>
    <w:rsid w:val="2FD2735D"/>
    <w:rsid w:val="2FE96AAF"/>
    <w:rsid w:val="30D140CD"/>
    <w:rsid w:val="30FC4B80"/>
    <w:rsid w:val="31172428"/>
    <w:rsid w:val="313D19AF"/>
    <w:rsid w:val="314B586D"/>
    <w:rsid w:val="31CE0296"/>
    <w:rsid w:val="31DA771B"/>
    <w:rsid w:val="32034DFD"/>
    <w:rsid w:val="32036508"/>
    <w:rsid w:val="323E5792"/>
    <w:rsid w:val="324A6DAD"/>
    <w:rsid w:val="32A36C31"/>
    <w:rsid w:val="331C5E9E"/>
    <w:rsid w:val="33792F26"/>
    <w:rsid w:val="337B218B"/>
    <w:rsid w:val="33B977C6"/>
    <w:rsid w:val="348E350D"/>
    <w:rsid w:val="34F23DD0"/>
    <w:rsid w:val="3551251A"/>
    <w:rsid w:val="35A324DC"/>
    <w:rsid w:val="35BD418B"/>
    <w:rsid w:val="35CA60DD"/>
    <w:rsid w:val="35F8221C"/>
    <w:rsid w:val="35FE6372"/>
    <w:rsid w:val="375743B3"/>
    <w:rsid w:val="375E737C"/>
    <w:rsid w:val="37965F2C"/>
    <w:rsid w:val="379B1192"/>
    <w:rsid w:val="37A87F65"/>
    <w:rsid w:val="38183D07"/>
    <w:rsid w:val="381C47C8"/>
    <w:rsid w:val="38303DCF"/>
    <w:rsid w:val="38A8605B"/>
    <w:rsid w:val="38FA6D55"/>
    <w:rsid w:val="39411E7C"/>
    <w:rsid w:val="394B6B18"/>
    <w:rsid w:val="3A03743E"/>
    <w:rsid w:val="3A14505D"/>
    <w:rsid w:val="3A5C2DAD"/>
    <w:rsid w:val="3A9E4562"/>
    <w:rsid w:val="3A9E7716"/>
    <w:rsid w:val="3AE74C19"/>
    <w:rsid w:val="3B885D5B"/>
    <w:rsid w:val="3BAD5F86"/>
    <w:rsid w:val="3BB47E7F"/>
    <w:rsid w:val="3C337BEC"/>
    <w:rsid w:val="3C4469CB"/>
    <w:rsid w:val="3C7C0723"/>
    <w:rsid w:val="3CA04F1F"/>
    <w:rsid w:val="3CAB2861"/>
    <w:rsid w:val="3CF257A2"/>
    <w:rsid w:val="3DC93540"/>
    <w:rsid w:val="3DD61090"/>
    <w:rsid w:val="3E3F2398"/>
    <w:rsid w:val="3E633E6E"/>
    <w:rsid w:val="3E7344FA"/>
    <w:rsid w:val="3E981EE7"/>
    <w:rsid w:val="3EFF5BC5"/>
    <w:rsid w:val="3F5D44D6"/>
    <w:rsid w:val="3FD00ED7"/>
    <w:rsid w:val="3FD839F2"/>
    <w:rsid w:val="3FEE4052"/>
    <w:rsid w:val="40267F92"/>
    <w:rsid w:val="405B4F06"/>
    <w:rsid w:val="40E12BE7"/>
    <w:rsid w:val="418D4436"/>
    <w:rsid w:val="423050F8"/>
    <w:rsid w:val="42B86E9B"/>
    <w:rsid w:val="42EC4930"/>
    <w:rsid w:val="433F1746"/>
    <w:rsid w:val="43C0161E"/>
    <w:rsid w:val="44522B61"/>
    <w:rsid w:val="44F468B0"/>
    <w:rsid w:val="46051AAF"/>
    <w:rsid w:val="4622270E"/>
    <w:rsid w:val="462410D4"/>
    <w:rsid w:val="46250CEB"/>
    <w:rsid w:val="46736CD7"/>
    <w:rsid w:val="46A24597"/>
    <w:rsid w:val="46AE0CE1"/>
    <w:rsid w:val="46B20BE9"/>
    <w:rsid w:val="46B37514"/>
    <w:rsid w:val="47D324F0"/>
    <w:rsid w:val="47F066FE"/>
    <w:rsid w:val="48111527"/>
    <w:rsid w:val="482173AE"/>
    <w:rsid w:val="489F6B33"/>
    <w:rsid w:val="49396DD5"/>
    <w:rsid w:val="497A4F52"/>
    <w:rsid w:val="49D40A5E"/>
    <w:rsid w:val="4A1B043B"/>
    <w:rsid w:val="4A5166FB"/>
    <w:rsid w:val="4B185EA5"/>
    <w:rsid w:val="4B367F93"/>
    <w:rsid w:val="4C356EDA"/>
    <w:rsid w:val="4C6167BB"/>
    <w:rsid w:val="4DA27269"/>
    <w:rsid w:val="4DEB76E2"/>
    <w:rsid w:val="4E3361D5"/>
    <w:rsid w:val="4E383A52"/>
    <w:rsid w:val="4E397A0D"/>
    <w:rsid w:val="4E3B47E2"/>
    <w:rsid w:val="4E787F9E"/>
    <w:rsid w:val="4EA360A4"/>
    <w:rsid w:val="4EA56E6D"/>
    <w:rsid w:val="4EAB30B5"/>
    <w:rsid w:val="4ED33254"/>
    <w:rsid w:val="4F0F1539"/>
    <w:rsid w:val="4F0F2539"/>
    <w:rsid w:val="4F894099"/>
    <w:rsid w:val="4F9B0FA4"/>
    <w:rsid w:val="4FE53EE9"/>
    <w:rsid w:val="4FE60998"/>
    <w:rsid w:val="50395ABF"/>
    <w:rsid w:val="505971B9"/>
    <w:rsid w:val="50951853"/>
    <w:rsid w:val="50CF1F80"/>
    <w:rsid w:val="510C65F2"/>
    <w:rsid w:val="512B026F"/>
    <w:rsid w:val="515D0643"/>
    <w:rsid w:val="518266FB"/>
    <w:rsid w:val="5223678D"/>
    <w:rsid w:val="524F16DC"/>
    <w:rsid w:val="52B4262A"/>
    <w:rsid w:val="52C16C80"/>
    <w:rsid w:val="52D618B0"/>
    <w:rsid w:val="52DC0708"/>
    <w:rsid w:val="53BA12AA"/>
    <w:rsid w:val="53D77AC9"/>
    <w:rsid w:val="5410572D"/>
    <w:rsid w:val="54C438A0"/>
    <w:rsid w:val="55482FE9"/>
    <w:rsid w:val="55596732"/>
    <w:rsid w:val="55651104"/>
    <w:rsid w:val="55AF05D2"/>
    <w:rsid w:val="5664038F"/>
    <w:rsid w:val="568470AE"/>
    <w:rsid w:val="56C01454"/>
    <w:rsid w:val="56F12952"/>
    <w:rsid w:val="571400B0"/>
    <w:rsid w:val="5746243C"/>
    <w:rsid w:val="576A2A02"/>
    <w:rsid w:val="57793128"/>
    <w:rsid w:val="579F706F"/>
    <w:rsid w:val="57E1452F"/>
    <w:rsid w:val="58685800"/>
    <w:rsid w:val="58AE5938"/>
    <w:rsid w:val="58DA1EB2"/>
    <w:rsid w:val="58FC77FA"/>
    <w:rsid w:val="59177DD3"/>
    <w:rsid w:val="592F22A8"/>
    <w:rsid w:val="59770BE6"/>
    <w:rsid w:val="5A2101EF"/>
    <w:rsid w:val="5A2F27D9"/>
    <w:rsid w:val="5A317655"/>
    <w:rsid w:val="5B0F23A1"/>
    <w:rsid w:val="5B234A93"/>
    <w:rsid w:val="5BAD3056"/>
    <w:rsid w:val="5BB45346"/>
    <w:rsid w:val="5C001082"/>
    <w:rsid w:val="5C7B28AD"/>
    <w:rsid w:val="5CE22611"/>
    <w:rsid w:val="5D215911"/>
    <w:rsid w:val="5D4D6706"/>
    <w:rsid w:val="5DBE3FCC"/>
    <w:rsid w:val="5DE828D3"/>
    <w:rsid w:val="5DEC610D"/>
    <w:rsid w:val="5DEE3CCB"/>
    <w:rsid w:val="5DFE1159"/>
    <w:rsid w:val="5E227B93"/>
    <w:rsid w:val="5EB822A5"/>
    <w:rsid w:val="5FB17120"/>
    <w:rsid w:val="5FDFD686"/>
    <w:rsid w:val="5FF53085"/>
    <w:rsid w:val="5FFC8238"/>
    <w:rsid w:val="5FFFFF60"/>
    <w:rsid w:val="603B6EC4"/>
    <w:rsid w:val="60BA6EBD"/>
    <w:rsid w:val="613F5EF9"/>
    <w:rsid w:val="614F7E1C"/>
    <w:rsid w:val="61882403"/>
    <w:rsid w:val="61E1214F"/>
    <w:rsid w:val="622774C6"/>
    <w:rsid w:val="622C4A1E"/>
    <w:rsid w:val="624F5243"/>
    <w:rsid w:val="62815411"/>
    <w:rsid w:val="62A03FD7"/>
    <w:rsid w:val="62AA79FF"/>
    <w:rsid w:val="636C365E"/>
    <w:rsid w:val="63C079A0"/>
    <w:rsid w:val="63C42E18"/>
    <w:rsid w:val="644F1254"/>
    <w:rsid w:val="645F4BFF"/>
    <w:rsid w:val="64677EB7"/>
    <w:rsid w:val="64C8520E"/>
    <w:rsid w:val="65042353"/>
    <w:rsid w:val="651758A9"/>
    <w:rsid w:val="65BD08C5"/>
    <w:rsid w:val="65EE0CA2"/>
    <w:rsid w:val="65FE0EE5"/>
    <w:rsid w:val="663D12E2"/>
    <w:rsid w:val="665977DE"/>
    <w:rsid w:val="668F4233"/>
    <w:rsid w:val="66E34566"/>
    <w:rsid w:val="67B010BC"/>
    <w:rsid w:val="67E71B6D"/>
    <w:rsid w:val="680E1188"/>
    <w:rsid w:val="68DE4FFE"/>
    <w:rsid w:val="69A1759A"/>
    <w:rsid w:val="69A22CDE"/>
    <w:rsid w:val="69BD2E65"/>
    <w:rsid w:val="69EC619F"/>
    <w:rsid w:val="6A312929"/>
    <w:rsid w:val="6A5437CA"/>
    <w:rsid w:val="6ACF108E"/>
    <w:rsid w:val="6AE74152"/>
    <w:rsid w:val="6B1E6C35"/>
    <w:rsid w:val="6B250CC2"/>
    <w:rsid w:val="6B4B3F0F"/>
    <w:rsid w:val="6B9E81A6"/>
    <w:rsid w:val="6C0134DD"/>
    <w:rsid w:val="6DDB600F"/>
    <w:rsid w:val="6E3F02ED"/>
    <w:rsid w:val="6E647D53"/>
    <w:rsid w:val="6F080662"/>
    <w:rsid w:val="6FA3A181"/>
    <w:rsid w:val="6FBB10C2"/>
    <w:rsid w:val="6FDB730A"/>
    <w:rsid w:val="6FEF3803"/>
    <w:rsid w:val="6FF1412A"/>
    <w:rsid w:val="700A4B8C"/>
    <w:rsid w:val="705C3668"/>
    <w:rsid w:val="70D27309"/>
    <w:rsid w:val="72097BAE"/>
    <w:rsid w:val="72263E6C"/>
    <w:rsid w:val="727D001E"/>
    <w:rsid w:val="73165394"/>
    <w:rsid w:val="73624258"/>
    <w:rsid w:val="7393773A"/>
    <w:rsid w:val="73A017A5"/>
    <w:rsid w:val="73D27CC0"/>
    <w:rsid w:val="73DB14B1"/>
    <w:rsid w:val="74815D0B"/>
    <w:rsid w:val="74C10015"/>
    <w:rsid w:val="74E90FB2"/>
    <w:rsid w:val="755778E6"/>
    <w:rsid w:val="75C16B30"/>
    <w:rsid w:val="75CE626D"/>
    <w:rsid w:val="767A64F4"/>
    <w:rsid w:val="76B92C06"/>
    <w:rsid w:val="770C0F88"/>
    <w:rsid w:val="773D7394"/>
    <w:rsid w:val="775841CD"/>
    <w:rsid w:val="77802E20"/>
    <w:rsid w:val="77DF0A2B"/>
    <w:rsid w:val="781B69DB"/>
    <w:rsid w:val="783343AA"/>
    <w:rsid w:val="78B95140"/>
    <w:rsid w:val="79096011"/>
    <w:rsid w:val="79254583"/>
    <w:rsid w:val="797C296E"/>
    <w:rsid w:val="7A9A2F4D"/>
    <w:rsid w:val="7AFD4FEE"/>
    <w:rsid w:val="7B167964"/>
    <w:rsid w:val="7B661EFE"/>
    <w:rsid w:val="7BB7860F"/>
    <w:rsid w:val="7BD375DD"/>
    <w:rsid w:val="7BEB4002"/>
    <w:rsid w:val="7C2C1A55"/>
    <w:rsid w:val="7C6A2221"/>
    <w:rsid w:val="7C934086"/>
    <w:rsid w:val="7CB62F91"/>
    <w:rsid w:val="7CBEB268"/>
    <w:rsid w:val="7CD67C72"/>
    <w:rsid w:val="7CF107D5"/>
    <w:rsid w:val="7D0E4B87"/>
    <w:rsid w:val="7D506D3F"/>
    <w:rsid w:val="7D731D61"/>
    <w:rsid w:val="7D763BC4"/>
    <w:rsid w:val="7D7FF12F"/>
    <w:rsid w:val="7D85126C"/>
    <w:rsid w:val="7D8B42E5"/>
    <w:rsid w:val="7DB95D1E"/>
    <w:rsid w:val="7DCB394B"/>
    <w:rsid w:val="7DDEB95C"/>
    <w:rsid w:val="7DE37963"/>
    <w:rsid w:val="7DFEB6DE"/>
    <w:rsid w:val="7DFF3E77"/>
    <w:rsid w:val="7E83F623"/>
    <w:rsid w:val="7E967AAD"/>
    <w:rsid w:val="7ED405DD"/>
    <w:rsid w:val="7EEA2E55"/>
    <w:rsid w:val="7F10459E"/>
    <w:rsid w:val="7F6F98EF"/>
    <w:rsid w:val="7FBF5BF4"/>
    <w:rsid w:val="7FC37F22"/>
    <w:rsid w:val="7FCFD19A"/>
    <w:rsid w:val="89A37A19"/>
    <w:rsid w:val="95EDDAB4"/>
    <w:rsid w:val="9EFFE2CC"/>
    <w:rsid w:val="AE579438"/>
    <w:rsid w:val="AECB58A4"/>
    <w:rsid w:val="B619C8B6"/>
    <w:rsid w:val="B7BD4E81"/>
    <w:rsid w:val="B7CFD3B8"/>
    <w:rsid w:val="BCBF60CC"/>
    <w:rsid w:val="BFDB1C9E"/>
    <w:rsid w:val="BFF8101A"/>
    <w:rsid w:val="CF3F379C"/>
    <w:rsid w:val="D2B3E5D9"/>
    <w:rsid w:val="D2FF33C1"/>
    <w:rsid w:val="DDCFE653"/>
    <w:rsid w:val="DEBBEC0F"/>
    <w:rsid w:val="DF369D41"/>
    <w:rsid w:val="DF9F525D"/>
    <w:rsid w:val="EDDFD4E1"/>
    <w:rsid w:val="EE27F680"/>
    <w:rsid w:val="EFDBB045"/>
    <w:rsid w:val="EFDF9419"/>
    <w:rsid w:val="EFF195DF"/>
    <w:rsid w:val="EFFBA61E"/>
    <w:rsid w:val="F7DE0CE8"/>
    <w:rsid w:val="F7E50E97"/>
    <w:rsid w:val="F8FE7803"/>
    <w:rsid w:val="FBCF6A2A"/>
    <w:rsid w:val="FBFC4A3F"/>
    <w:rsid w:val="FD2A2228"/>
    <w:rsid w:val="FD6B922B"/>
    <w:rsid w:val="FDEFC8D7"/>
    <w:rsid w:val="FF65AE40"/>
    <w:rsid w:val="FF7EA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0"/>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59"/>
    <w:autoRedefine/>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1"/>
    <w:link w:val="203"/>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4"/>
    <w:link w:val="88"/>
    <w:autoRedefine/>
    <w:qFormat/>
    <w:uiPriority w:val="0"/>
    <w:pPr>
      <w:keepNext/>
      <w:keepLines/>
      <w:spacing w:before="120" w:after="120"/>
      <w:outlineLvl w:val="3"/>
    </w:pPr>
    <w:rPr>
      <w:rFonts w:ascii="Arial" w:hAnsi="Arial" w:eastAsia="黑体"/>
      <w:b/>
      <w:sz w:val="20"/>
    </w:rPr>
  </w:style>
  <w:style w:type="paragraph" w:styleId="10">
    <w:name w:val="heading 5"/>
    <w:basedOn w:val="1"/>
    <w:next w:val="4"/>
    <w:link w:val="78"/>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2"/>
    <w:autoRedefine/>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37"/>
    <w:autoRedefine/>
    <w:qFormat/>
    <w:uiPriority w:val="0"/>
    <w:pPr>
      <w:keepNext/>
      <w:keepLines/>
      <w:spacing w:before="240" w:after="64" w:line="319" w:lineRule="auto"/>
      <w:outlineLvl w:val="6"/>
    </w:pPr>
    <w:rPr>
      <w:b/>
      <w:bCs/>
      <w:sz w:val="24"/>
      <w:szCs w:val="24"/>
    </w:rPr>
  </w:style>
  <w:style w:type="paragraph" w:styleId="13">
    <w:name w:val="heading 8"/>
    <w:basedOn w:val="1"/>
    <w:next w:val="1"/>
    <w:link w:val="151"/>
    <w:autoRedefine/>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57"/>
    <w:autoRedefine/>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First Indent 2"/>
    <w:basedOn w:val="6"/>
    <w:next w:val="1"/>
    <w:autoRedefine/>
    <w:qFormat/>
    <w:uiPriority w:val="0"/>
    <w:pPr>
      <w:ind w:firstLine="420" w:firstLineChars="200"/>
    </w:pPr>
  </w:style>
  <w:style w:type="paragraph" w:styleId="6">
    <w:name w:val="Body Text Indent"/>
    <w:basedOn w:val="1"/>
    <w:next w:val="7"/>
    <w:link w:val="169"/>
    <w:autoRedefine/>
    <w:qFormat/>
    <w:uiPriority w:val="0"/>
    <w:pPr>
      <w:ind w:firstLine="645"/>
    </w:pPr>
    <w:rPr>
      <w:sz w:val="20"/>
    </w:rPr>
  </w:style>
  <w:style w:type="paragraph" w:styleId="7">
    <w:name w:val="envelope return"/>
    <w:basedOn w:val="1"/>
    <w:autoRedefine/>
    <w:unhideWhenUsed/>
    <w:qFormat/>
    <w:uiPriority w:val="99"/>
    <w:pPr>
      <w:snapToGrid w:val="0"/>
    </w:pPr>
    <w:rPr>
      <w:rFonts w:ascii="Arial" w:hAnsi="Arial"/>
    </w:rPr>
  </w:style>
  <w:style w:type="paragraph" w:styleId="15">
    <w:name w:val="List 3"/>
    <w:basedOn w:val="1"/>
    <w:autoRedefine/>
    <w:qFormat/>
    <w:uiPriority w:val="0"/>
    <w:pPr>
      <w:ind w:left="1260" w:hanging="420"/>
    </w:pPr>
  </w:style>
  <w:style w:type="paragraph" w:styleId="16">
    <w:name w:val="toc 7"/>
    <w:basedOn w:val="1"/>
    <w:next w:val="1"/>
    <w:autoRedefine/>
    <w:qFormat/>
    <w:uiPriority w:val="0"/>
    <w:pPr>
      <w:ind w:left="1260"/>
      <w:jc w:val="left"/>
    </w:pPr>
    <w:rPr>
      <w:sz w:val="18"/>
    </w:rPr>
  </w:style>
  <w:style w:type="paragraph" w:styleId="17">
    <w:name w:val="List Number 2"/>
    <w:basedOn w:val="1"/>
    <w:autoRedefine/>
    <w:qFormat/>
    <w:uiPriority w:val="0"/>
    <w:pPr>
      <w:tabs>
        <w:tab w:val="left" w:pos="1440"/>
      </w:tabs>
      <w:spacing w:line="360" w:lineRule="auto"/>
      <w:ind w:left="1440" w:hanging="1440"/>
    </w:pPr>
    <w:rPr>
      <w:sz w:val="24"/>
      <w:szCs w:val="24"/>
    </w:rPr>
  </w:style>
  <w:style w:type="paragraph" w:styleId="18">
    <w:name w:val="index 8"/>
    <w:basedOn w:val="1"/>
    <w:next w:val="1"/>
    <w:autoRedefine/>
    <w:qFormat/>
    <w:uiPriority w:val="0"/>
    <w:pPr>
      <w:ind w:left="2940"/>
    </w:pPr>
  </w:style>
  <w:style w:type="paragraph" w:styleId="19">
    <w:name w:val="List Number"/>
    <w:basedOn w:val="1"/>
    <w:autoRedefine/>
    <w:qFormat/>
    <w:uiPriority w:val="0"/>
    <w:pPr>
      <w:tabs>
        <w:tab w:val="left" w:pos="2952"/>
      </w:tabs>
      <w:ind w:left="2952" w:hanging="432"/>
    </w:pPr>
    <w:rPr>
      <w:szCs w:val="24"/>
    </w:rPr>
  </w:style>
  <w:style w:type="paragraph" w:styleId="20">
    <w:name w:val="index 5"/>
    <w:basedOn w:val="1"/>
    <w:next w:val="1"/>
    <w:autoRedefine/>
    <w:qFormat/>
    <w:uiPriority w:val="0"/>
    <w:pPr>
      <w:ind w:left="1680"/>
    </w:pPr>
  </w:style>
  <w:style w:type="paragraph" w:styleId="21">
    <w:name w:val="Document Map"/>
    <w:basedOn w:val="1"/>
    <w:link w:val="196"/>
    <w:autoRedefine/>
    <w:qFormat/>
    <w:uiPriority w:val="0"/>
    <w:pPr>
      <w:shd w:val="clear" w:color="auto" w:fill="000080"/>
    </w:pPr>
    <w:rPr>
      <w:rFonts w:ascii="宋体"/>
      <w:sz w:val="18"/>
      <w:szCs w:val="18"/>
    </w:rPr>
  </w:style>
  <w:style w:type="paragraph" w:styleId="22">
    <w:name w:val="annotation text"/>
    <w:basedOn w:val="1"/>
    <w:link w:val="128"/>
    <w:autoRedefine/>
    <w:qFormat/>
    <w:uiPriority w:val="99"/>
    <w:pPr>
      <w:jc w:val="left"/>
    </w:pPr>
    <w:rPr>
      <w:sz w:val="20"/>
    </w:rPr>
  </w:style>
  <w:style w:type="paragraph" w:styleId="23">
    <w:name w:val="index 6"/>
    <w:basedOn w:val="1"/>
    <w:next w:val="1"/>
    <w:autoRedefine/>
    <w:qFormat/>
    <w:uiPriority w:val="0"/>
    <w:pPr>
      <w:ind w:left="2100"/>
    </w:pPr>
  </w:style>
  <w:style w:type="paragraph" w:styleId="24">
    <w:name w:val="Salutation"/>
    <w:basedOn w:val="1"/>
    <w:next w:val="1"/>
    <w:link w:val="192"/>
    <w:autoRedefine/>
    <w:qFormat/>
    <w:uiPriority w:val="0"/>
    <w:rPr>
      <w:rFonts w:ascii="仿宋_GB2312" w:eastAsia="仿宋_GB2312"/>
      <w:sz w:val="20"/>
    </w:rPr>
  </w:style>
  <w:style w:type="paragraph" w:styleId="25">
    <w:name w:val="Body Text 3"/>
    <w:basedOn w:val="1"/>
    <w:link w:val="89"/>
    <w:autoRedefine/>
    <w:qFormat/>
    <w:uiPriority w:val="0"/>
    <w:rPr>
      <w:rFonts w:ascii="仿宋_GB2312" w:hAnsi="Arial" w:eastAsia="仿宋_GB2312"/>
      <w:sz w:val="20"/>
    </w:rPr>
  </w:style>
  <w:style w:type="paragraph" w:styleId="26">
    <w:name w:val="Body Text"/>
    <w:basedOn w:val="1"/>
    <w:link w:val="76"/>
    <w:autoRedefine/>
    <w:qFormat/>
    <w:uiPriority w:val="0"/>
    <w:rPr>
      <w:rFonts w:ascii="楷体_GB2312" w:hAnsi="Arial" w:eastAsia="楷体_GB2312"/>
      <w:sz w:val="20"/>
    </w:rPr>
  </w:style>
  <w:style w:type="paragraph" w:styleId="27">
    <w:name w:val="index 4"/>
    <w:basedOn w:val="1"/>
    <w:next w:val="1"/>
    <w:autoRedefine/>
    <w:qFormat/>
    <w:uiPriority w:val="0"/>
    <w:pPr>
      <w:ind w:left="1260"/>
    </w:pPr>
  </w:style>
  <w:style w:type="paragraph" w:styleId="28">
    <w:name w:val="toc 5"/>
    <w:basedOn w:val="1"/>
    <w:next w:val="1"/>
    <w:autoRedefine/>
    <w:qFormat/>
    <w:uiPriority w:val="0"/>
    <w:pPr>
      <w:ind w:left="840"/>
      <w:jc w:val="left"/>
    </w:pPr>
    <w:rPr>
      <w:sz w:val="18"/>
    </w:rPr>
  </w:style>
  <w:style w:type="paragraph" w:styleId="29">
    <w:name w:val="toc 3"/>
    <w:basedOn w:val="1"/>
    <w:next w:val="1"/>
    <w:autoRedefine/>
    <w:qFormat/>
    <w:uiPriority w:val="39"/>
    <w:pPr>
      <w:ind w:left="420"/>
      <w:jc w:val="left"/>
    </w:pPr>
    <w:rPr>
      <w:i/>
      <w:sz w:val="20"/>
    </w:rPr>
  </w:style>
  <w:style w:type="paragraph" w:styleId="30">
    <w:name w:val="Plain Text"/>
    <w:basedOn w:val="1"/>
    <w:link w:val="121"/>
    <w:autoRedefine/>
    <w:qFormat/>
    <w:uiPriority w:val="99"/>
    <w:rPr>
      <w:rFonts w:ascii="宋体" w:hAnsi="Courier New" w:cs="Courier New"/>
      <w:szCs w:val="21"/>
    </w:rPr>
  </w:style>
  <w:style w:type="paragraph" w:styleId="31">
    <w:name w:val="toc 8"/>
    <w:basedOn w:val="1"/>
    <w:next w:val="1"/>
    <w:autoRedefine/>
    <w:qFormat/>
    <w:uiPriority w:val="0"/>
    <w:pPr>
      <w:ind w:left="1470"/>
      <w:jc w:val="left"/>
    </w:pPr>
    <w:rPr>
      <w:sz w:val="18"/>
    </w:rPr>
  </w:style>
  <w:style w:type="paragraph" w:styleId="32">
    <w:name w:val="index 3"/>
    <w:basedOn w:val="1"/>
    <w:next w:val="1"/>
    <w:autoRedefine/>
    <w:qFormat/>
    <w:uiPriority w:val="0"/>
    <w:pPr>
      <w:ind w:left="840"/>
    </w:pPr>
  </w:style>
  <w:style w:type="paragraph" w:styleId="33">
    <w:name w:val="Date"/>
    <w:basedOn w:val="1"/>
    <w:next w:val="1"/>
    <w:link w:val="140"/>
    <w:autoRedefine/>
    <w:qFormat/>
    <w:uiPriority w:val="0"/>
    <w:pPr>
      <w:ind w:left="100" w:leftChars="2500"/>
    </w:pPr>
    <w:rPr>
      <w:sz w:val="20"/>
    </w:rPr>
  </w:style>
  <w:style w:type="paragraph" w:styleId="34">
    <w:name w:val="Body Text Indent 2"/>
    <w:basedOn w:val="1"/>
    <w:link w:val="163"/>
    <w:autoRedefine/>
    <w:qFormat/>
    <w:uiPriority w:val="0"/>
    <w:pPr>
      <w:ind w:left="630" w:firstLine="645"/>
    </w:pPr>
    <w:rPr>
      <w:sz w:val="20"/>
    </w:rPr>
  </w:style>
  <w:style w:type="paragraph" w:styleId="35">
    <w:name w:val="endnote text"/>
    <w:basedOn w:val="1"/>
    <w:link w:val="206"/>
    <w:autoRedefine/>
    <w:qFormat/>
    <w:uiPriority w:val="0"/>
    <w:pPr>
      <w:snapToGrid w:val="0"/>
      <w:jc w:val="left"/>
    </w:pPr>
    <w:rPr>
      <w:kern w:val="0"/>
      <w:sz w:val="24"/>
      <w:szCs w:val="24"/>
    </w:rPr>
  </w:style>
  <w:style w:type="paragraph" w:styleId="36">
    <w:name w:val="Balloon Text"/>
    <w:basedOn w:val="1"/>
    <w:link w:val="205"/>
    <w:autoRedefine/>
    <w:qFormat/>
    <w:uiPriority w:val="0"/>
    <w:rPr>
      <w:sz w:val="18"/>
      <w:szCs w:val="18"/>
    </w:rPr>
  </w:style>
  <w:style w:type="paragraph" w:styleId="37">
    <w:name w:val="footer"/>
    <w:basedOn w:val="1"/>
    <w:link w:val="198"/>
    <w:autoRedefine/>
    <w:qFormat/>
    <w:uiPriority w:val="0"/>
    <w:pPr>
      <w:tabs>
        <w:tab w:val="center" w:pos="4153"/>
        <w:tab w:val="right" w:pos="8306"/>
      </w:tabs>
      <w:snapToGrid w:val="0"/>
      <w:jc w:val="left"/>
    </w:pPr>
    <w:rPr>
      <w:sz w:val="18"/>
      <w:szCs w:val="18"/>
    </w:rPr>
  </w:style>
  <w:style w:type="paragraph" w:styleId="38">
    <w:name w:val="header"/>
    <w:basedOn w:val="1"/>
    <w:link w:val="134"/>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1"/>
    <w:autoRedefine/>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autoRedefine/>
    <w:qFormat/>
    <w:uiPriority w:val="39"/>
    <w:pPr>
      <w:spacing w:before="120" w:after="120"/>
      <w:jc w:val="left"/>
    </w:pPr>
    <w:rPr>
      <w:b/>
      <w:caps/>
      <w:sz w:val="20"/>
    </w:rPr>
  </w:style>
  <w:style w:type="paragraph" w:styleId="41">
    <w:name w:val="toc 4"/>
    <w:basedOn w:val="1"/>
    <w:next w:val="1"/>
    <w:autoRedefine/>
    <w:qFormat/>
    <w:uiPriority w:val="0"/>
    <w:pPr>
      <w:ind w:left="630"/>
      <w:jc w:val="left"/>
    </w:pPr>
    <w:rPr>
      <w:sz w:val="18"/>
    </w:rPr>
  </w:style>
  <w:style w:type="paragraph" w:styleId="42">
    <w:name w:val="index heading"/>
    <w:basedOn w:val="1"/>
    <w:next w:val="43"/>
    <w:autoRedefine/>
    <w:qFormat/>
    <w:uiPriority w:val="0"/>
  </w:style>
  <w:style w:type="paragraph" w:styleId="43">
    <w:name w:val="index 1"/>
    <w:basedOn w:val="1"/>
    <w:next w:val="1"/>
    <w:autoRedefine/>
    <w:qFormat/>
    <w:uiPriority w:val="0"/>
    <w:rPr>
      <w:rFonts w:ascii="仿宋_GB2312" w:hAnsi="宋体" w:eastAsia="仿宋_GB2312"/>
      <w:sz w:val="30"/>
      <w:szCs w:val="24"/>
    </w:rPr>
  </w:style>
  <w:style w:type="paragraph" w:styleId="44">
    <w:name w:val="Subtitle"/>
    <w:basedOn w:val="1"/>
    <w:next w:val="1"/>
    <w:link w:val="80"/>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3"/>
    <w:autoRedefine/>
    <w:qFormat/>
    <w:uiPriority w:val="0"/>
    <w:pPr>
      <w:snapToGrid w:val="0"/>
      <w:jc w:val="left"/>
    </w:pPr>
    <w:rPr>
      <w:sz w:val="18"/>
      <w:szCs w:val="18"/>
    </w:rPr>
  </w:style>
  <w:style w:type="paragraph" w:styleId="46">
    <w:name w:val="toc 6"/>
    <w:basedOn w:val="1"/>
    <w:next w:val="1"/>
    <w:autoRedefine/>
    <w:qFormat/>
    <w:uiPriority w:val="0"/>
    <w:pPr>
      <w:ind w:left="1050"/>
      <w:jc w:val="left"/>
    </w:pPr>
    <w:rPr>
      <w:sz w:val="18"/>
    </w:rPr>
  </w:style>
  <w:style w:type="paragraph" w:styleId="47">
    <w:name w:val="Body Text Indent 3"/>
    <w:basedOn w:val="1"/>
    <w:link w:val="113"/>
    <w:autoRedefine/>
    <w:qFormat/>
    <w:uiPriority w:val="0"/>
    <w:pPr>
      <w:ind w:left="645" w:firstLine="645"/>
    </w:pPr>
    <w:rPr>
      <w:sz w:val="16"/>
      <w:szCs w:val="16"/>
    </w:rPr>
  </w:style>
  <w:style w:type="paragraph" w:styleId="48">
    <w:name w:val="index 7"/>
    <w:basedOn w:val="1"/>
    <w:next w:val="1"/>
    <w:autoRedefine/>
    <w:qFormat/>
    <w:uiPriority w:val="0"/>
    <w:pPr>
      <w:ind w:left="2520"/>
    </w:pPr>
  </w:style>
  <w:style w:type="paragraph" w:styleId="49">
    <w:name w:val="index 9"/>
    <w:basedOn w:val="1"/>
    <w:next w:val="1"/>
    <w:autoRedefine/>
    <w:qFormat/>
    <w:uiPriority w:val="0"/>
    <w:pPr>
      <w:ind w:left="3360"/>
    </w:pPr>
  </w:style>
  <w:style w:type="paragraph" w:styleId="50">
    <w:name w:val="table of figures"/>
    <w:basedOn w:val="1"/>
    <w:next w:val="1"/>
    <w:autoRedefine/>
    <w:qFormat/>
    <w:uiPriority w:val="0"/>
    <w:pPr>
      <w:ind w:left="840" w:hanging="420"/>
    </w:pPr>
  </w:style>
  <w:style w:type="paragraph" w:styleId="51">
    <w:name w:val="toc 2"/>
    <w:basedOn w:val="1"/>
    <w:next w:val="1"/>
    <w:autoRedefine/>
    <w:qFormat/>
    <w:uiPriority w:val="0"/>
    <w:pPr>
      <w:ind w:left="210"/>
      <w:jc w:val="left"/>
    </w:pPr>
    <w:rPr>
      <w:smallCaps/>
      <w:sz w:val="20"/>
    </w:rPr>
  </w:style>
  <w:style w:type="paragraph" w:styleId="52">
    <w:name w:val="toc 9"/>
    <w:basedOn w:val="1"/>
    <w:next w:val="1"/>
    <w:autoRedefine/>
    <w:qFormat/>
    <w:uiPriority w:val="0"/>
    <w:pPr>
      <w:ind w:left="1680"/>
      <w:jc w:val="left"/>
    </w:pPr>
    <w:rPr>
      <w:sz w:val="18"/>
    </w:rPr>
  </w:style>
  <w:style w:type="paragraph" w:styleId="53">
    <w:name w:val="Body Text 2"/>
    <w:basedOn w:val="1"/>
    <w:link w:val="173"/>
    <w:autoRedefine/>
    <w:qFormat/>
    <w:uiPriority w:val="0"/>
    <w:pPr>
      <w:widowControl/>
      <w:jc w:val="center"/>
    </w:pPr>
    <w:rPr>
      <w:rFonts w:ascii="楷体_GB2312" w:eastAsia="楷体_GB2312"/>
      <w:sz w:val="20"/>
    </w:rPr>
  </w:style>
  <w:style w:type="paragraph" w:styleId="54">
    <w:name w:val="HTML Preformatted"/>
    <w:basedOn w:val="1"/>
    <w:link w:val="16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autoRedefine/>
    <w:qFormat/>
    <w:uiPriority w:val="0"/>
    <w:pPr>
      <w:ind w:left="420"/>
    </w:pPr>
  </w:style>
  <w:style w:type="paragraph" w:styleId="57">
    <w:name w:val="Title"/>
    <w:basedOn w:val="1"/>
    <w:link w:val="170"/>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2"/>
    <w:next w:val="22"/>
    <w:link w:val="144"/>
    <w:autoRedefine/>
    <w:qFormat/>
    <w:uiPriority w:val="0"/>
    <w:rPr>
      <w:b/>
      <w:bCs/>
    </w:rPr>
  </w:style>
  <w:style w:type="paragraph" w:styleId="59">
    <w:name w:val="Body Text First Indent"/>
    <w:basedOn w:val="26"/>
    <w:link w:val="105"/>
    <w:autoRedefine/>
    <w:qFormat/>
    <w:uiPriority w:val="0"/>
    <w:pPr>
      <w:spacing w:after="120"/>
      <w:ind w:firstLine="420" w:firstLineChars="100"/>
    </w:pPr>
    <w:rPr>
      <w:rFonts w:ascii="Times New Roman" w:hAnsi="Times New Roman" w:eastAsia="宋体"/>
      <w:sz w:val="24"/>
      <w:szCs w:val="24"/>
    </w:rPr>
  </w:style>
  <w:style w:type="table" w:styleId="61">
    <w:name w:val="Table Grid"/>
    <w:basedOn w:val="6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autoRedefine/>
    <w:qFormat/>
    <w:uiPriority w:val="0"/>
    <w:rPr>
      <w:b/>
    </w:rPr>
  </w:style>
  <w:style w:type="character" w:styleId="64">
    <w:name w:val="endnote reference"/>
    <w:basedOn w:val="62"/>
    <w:autoRedefine/>
    <w:qFormat/>
    <w:uiPriority w:val="0"/>
    <w:rPr>
      <w:vertAlign w:val="superscript"/>
    </w:rPr>
  </w:style>
  <w:style w:type="character" w:styleId="65">
    <w:name w:val="page number"/>
    <w:basedOn w:val="62"/>
    <w:autoRedefine/>
    <w:qFormat/>
    <w:uiPriority w:val="0"/>
    <w:rPr>
      <w:rFonts w:cs="Times New Roman"/>
    </w:rPr>
  </w:style>
  <w:style w:type="character" w:styleId="66">
    <w:name w:val="FollowedHyperlink"/>
    <w:basedOn w:val="62"/>
    <w:autoRedefine/>
    <w:qFormat/>
    <w:uiPriority w:val="0"/>
    <w:rPr>
      <w:color w:val="800080"/>
      <w:u w:val="single"/>
    </w:rPr>
  </w:style>
  <w:style w:type="character" w:styleId="67">
    <w:name w:val="Emphasis"/>
    <w:basedOn w:val="62"/>
    <w:autoRedefine/>
    <w:qFormat/>
    <w:uiPriority w:val="0"/>
    <w:rPr>
      <w:b/>
      <w:i/>
      <w:spacing w:val="10"/>
      <w:shd w:val="clear" w:color="auto" w:fill="auto"/>
    </w:rPr>
  </w:style>
  <w:style w:type="character" w:styleId="68">
    <w:name w:val="line number"/>
    <w:basedOn w:val="62"/>
    <w:autoRedefine/>
    <w:qFormat/>
    <w:uiPriority w:val="0"/>
    <w:rPr>
      <w:rFonts w:cs="Times New Roman"/>
    </w:rPr>
  </w:style>
  <w:style w:type="character" w:styleId="69">
    <w:name w:val="HTML Typewriter"/>
    <w:basedOn w:val="62"/>
    <w:autoRedefine/>
    <w:qFormat/>
    <w:uiPriority w:val="0"/>
    <w:rPr>
      <w:rFonts w:ascii="宋体" w:hAnsi="宋体" w:eastAsia="宋体"/>
      <w:sz w:val="24"/>
    </w:rPr>
  </w:style>
  <w:style w:type="character" w:styleId="70">
    <w:name w:val="Hyperlink"/>
    <w:basedOn w:val="62"/>
    <w:autoRedefine/>
    <w:qFormat/>
    <w:uiPriority w:val="99"/>
    <w:rPr>
      <w:color w:val="0000FF"/>
      <w:u w:val="single"/>
    </w:rPr>
  </w:style>
  <w:style w:type="character" w:styleId="71">
    <w:name w:val="annotation reference"/>
    <w:basedOn w:val="62"/>
    <w:autoRedefine/>
    <w:qFormat/>
    <w:uiPriority w:val="99"/>
    <w:rPr>
      <w:sz w:val="21"/>
    </w:rPr>
  </w:style>
  <w:style w:type="character" w:styleId="72">
    <w:name w:val="footnote reference"/>
    <w:basedOn w:val="62"/>
    <w:autoRedefine/>
    <w:qFormat/>
    <w:uiPriority w:val="0"/>
    <w:rPr>
      <w:vertAlign w:val="superscript"/>
    </w:rPr>
  </w:style>
  <w:style w:type="character" w:styleId="73">
    <w:name w:val="HTML Sample"/>
    <w:basedOn w:val="62"/>
    <w:autoRedefine/>
    <w:qFormat/>
    <w:uiPriority w:val="0"/>
    <w:rPr>
      <w:rFonts w:ascii="Courier New" w:hAnsi="宋体" w:eastAsia="宋体"/>
    </w:rPr>
  </w:style>
  <w:style w:type="paragraph" w:customStyle="1" w:styleId="7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75">
    <w:name w:val="页脚 Char1"/>
    <w:basedOn w:val="62"/>
    <w:autoRedefine/>
    <w:qFormat/>
    <w:uiPriority w:val="0"/>
    <w:rPr>
      <w:rFonts w:cs="Times New Roman"/>
      <w:kern w:val="2"/>
      <w:sz w:val="18"/>
      <w:szCs w:val="18"/>
    </w:rPr>
  </w:style>
  <w:style w:type="character" w:customStyle="1" w:styleId="76">
    <w:name w:val="正文文本 字符"/>
    <w:basedOn w:val="62"/>
    <w:link w:val="26"/>
    <w:autoRedefine/>
    <w:qFormat/>
    <w:uiPriority w:val="0"/>
    <w:rPr>
      <w:rFonts w:ascii="楷体_GB2312" w:hAnsi="Arial" w:eastAsia="楷体_GB2312" w:cs="Times New Roman"/>
      <w:sz w:val="20"/>
      <w:szCs w:val="20"/>
    </w:rPr>
  </w:style>
  <w:style w:type="character" w:customStyle="1" w:styleId="77">
    <w:name w:val="Body Text Indent 2 Char"/>
    <w:autoRedefine/>
    <w:qFormat/>
    <w:uiPriority w:val="0"/>
    <w:rPr>
      <w:rFonts w:ascii="Arial" w:hAnsi="Arial" w:eastAsia="仿宋_GB2312"/>
      <w:sz w:val="32"/>
    </w:rPr>
  </w:style>
  <w:style w:type="character" w:customStyle="1" w:styleId="78">
    <w:name w:val="标题 5 字符"/>
    <w:basedOn w:val="62"/>
    <w:link w:val="10"/>
    <w:autoRedefine/>
    <w:qFormat/>
    <w:uiPriority w:val="0"/>
    <w:rPr>
      <w:rFonts w:ascii="黑体" w:hAnsi="Times New Roman" w:eastAsia="黑体" w:cs="Times New Roman"/>
      <w:b/>
      <w:color w:val="000000"/>
      <w:kern w:val="0"/>
      <w:sz w:val="20"/>
      <w:szCs w:val="20"/>
    </w:rPr>
  </w:style>
  <w:style w:type="character" w:customStyle="1" w:styleId="79">
    <w:name w:val="Body Text Indent 3 Char1"/>
    <w:basedOn w:val="62"/>
    <w:autoRedefine/>
    <w:qFormat/>
    <w:uiPriority w:val="0"/>
    <w:rPr>
      <w:rFonts w:ascii="Times New Roman" w:hAnsi="Times New Roman"/>
      <w:kern w:val="2"/>
      <w:sz w:val="16"/>
      <w:szCs w:val="16"/>
    </w:rPr>
  </w:style>
  <w:style w:type="character" w:customStyle="1" w:styleId="80">
    <w:name w:val="副标题 字符"/>
    <w:basedOn w:val="62"/>
    <w:link w:val="44"/>
    <w:autoRedefine/>
    <w:qFormat/>
    <w:uiPriority w:val="0"/>
    <w:rPr>
      <w:rFonts w:ascii="Cambria" w:hAnsi="Cambria" w:eastAsia="宋体" w:cs="Times New Roman"/>
      <w:i/>
      <w:iCs/>
      <w:spacing w:val="13"/>
      <w:kern w:val="0"/>
      <w:sz w:val="24"/>
      <w:szCs w:val="24"/>
      <w:lang w:eastAsia="en-US"/>
    </w:rPr>
  </w:style>
  <w:style w:type="character" w:customStyle="1" w:styleId="81">
    <w:name w:val="listbenefit"/>
    <w:autoRedefine/>
    <w:qFormat/>
    <w:uiPriority w:val="0"/>
  </w:style>
  <w:style w:type="character" w:customStyle="1" w:styleId="82">
    <w:name w:val="Char Char27"/>
    <w:autoRedefine/>
    <w:qFormat/>
    <w:uiPriority w:val="0"/>
    <w:rPr>
      <w:b/>
      <w:kern w:val="44"/>
      <w:sz w:val="44"/>
    </w:rPr>
  </w:style>
  <w:style w:type="character" w:customStyle="1" w:styleId="83">
    <w:name w:val="param-value"/>
    <w:basedOn w:val="62"/>
    <w:autoRedefine/>
    <w:qFormat/>
    <w:uiPriority w:val="0"/>
    <w:rPr>
      <w:rFonts w:cs="Times New Roman"/>
    </w:rPr>
  </w:style>
  <w:style w:type="character" w:customStyle="1" w:styleId="84">
    <w:name w:val="纯文本 Char Char Char1"/>
    <w:autoRedefine/>
    <w:qFormat/>
    <w:uiPriority w:val="0"/>
    <w:rPr>
      <w:rFonts w:ascii="宋体" w:hAnsi="Courier New" w:eastAsia="宋体"/>
      <w:kern w:val="2"/>
      <w:sz w:val="21"/>
      <w:lang w:val="en-US" w:eastAsia="zh-CN"/>
    </w:rPr>
  </w:style>
  <w:style w:type="character" w:customStyle="1" w:styleId="85">
    <w:name w:val="apple-converted-space"/>
    <w:basedOn w:val="62"/>
    <w:autoRedefine/>
    <w:qFormat/>
    <w:uiPriority w:val="0"/>
    <w:rPr>
      <w:rFonts w:cs="Times New Roman"/>
    </w:rPr>
  </w:style>
  <w:style w:type="character" w:customStyle="1" w:styleId="86">
    <w:name w:val="Char Char29"/>
    <w:autoRedefine/>
    <w:qFormat/>
    <w:uiPriority w:val="0"/>
    <w:rPr>
      <w:rFonts w:ascii="Times New Roman" w:hAnsi="Times New Roman" w:eastAsia="宋体"/>
      <w:b/>
      <w:kern w:val="44"/>
      <w:sz w:val="44"/>
    </w:rPr>
  </w:style>
  <w:style w:type="character" w:customStyle="1" w:styleId="87">
    <w:name w:val="标题 3 Char"/>
    <w:basedOn w:val="62"/>
    <w:autoRedefine/>
    <w:qFormat/>
    <w:uiPriority w:val="0"/>
    <w:rPr>
      <w:rFonts w:ascii="Times New Roman" w:hAnsi="Times New Roman" w:eastAsia="宋体" w:cs="Times New Roman"/>
      <w:b/>
      <w:bCs/>
      <w:sz w:val="32"/>
      <w:szCs w:val="32"/>
    </w:rPr>
  </w:style>
  <w:style w:type="character" w:customStyle="1" w:styleId="88">
    <w:name w:val="标题 4 字符"/>
    <w:basedOn w:val="62"/>
    <w:link w:val="9"/>
    <w:autoRedefine/>
    <w:qFormat/>
    <w:uiPriority w:val="0"/>
    <w:rPr>
      <w:rFonts w:ascii="Arial" w:hAnsi="Arial" w:eastAsia="黑体" w:cs="Times New Roman"/>
      <w:b/>
      <w:sz w:val="20"/>
      <w:szCs w:val="20"/>
    </w:rPr>
  </w:style>
  <w:style w:type="character" w:customStyle="1" w:styleId="89">
    <w:name w:val="正文文本 3 字符"/>
    <w:basedOn w:val="62"/>
    <w:link w:val="25"/>
    <w:autoRedefine/>
    <w:qFormat/>
    <w:uiPriority w:val="0"/>
    <w:rPr>
      <w:rFonts w:ascii="仿宋_GB2312" w:hAnsi="Arial" w:eastAsia="仿宋_GB2312" w:cs="Times New Roman"/>
      <w:sz w:val="20"/>
      <w:szCs w:val="20"/>
    </w:rPr>
  </w:style>
  <w:style w:type="character" w:customStyle="1" w:styleId="90">
    <w:name w:val="正文文本缩进 Char"/>
    <w:basedOn w:val="62"/>
    <w:autoRedefine/>
    <w:qFormat/>
    <w:uiPriority w:val="0"/>
    <w:rPr>
      <w:rFonts w:ascii="Times New Roman" w:hAnsi="Times New Roman" w:eastAsia="宋体" w:cs="Times New Roman"/>
      <w:sz w:val="20"/>
      <w:szCs w:val="20"/>
    </w:rPr>
  </w:style>
  <w:style w:type="character" w:customStyle="1" w:styleId="91">
    <w:name w:val="Plain Text Char"/>
    <w:autoRedefine/>
    <w:qFormat/>
    <w:uiPriority w:val="0"/>
    <w:rPr>
      <w:rFonts w:ascii="宋体" w:hAnsi="Courier New"/>
    </w:rPr>
  </w:style>
  <w:style w:type="character" w:customStyle="1" w:styleId="92">
    <w:name w:val="HTML 预设格式 Char"/>
    <w:basedOn w:val="62"/>
    <w:autoRedefine/>
    <w:qFormat/>
    <w:uiPriority w:val="0"/>
    <w:rPr>
      <w:rFonts w:ascii="Courier New" w:hAnsi="Courier New" w:eastAsia="宋体" w:cs="Courier New"/>
      <w:sz w:val="20"/>
      <w:szCs w:val="20"/>
    </w:rPr>
  </w:style>
  <w:style w:type="character" w:customStyle="1" w:styleId="93">
    <w:name w:val="批注文字 Char Char"/>
    <w:autoRedefine/>
    <w:qFormat/>
    <w:uiPriority w:val="0"/>
    <w:rPr>
      <w:rFonts w:eastAsia="宋体"/>
      <w:kern w:val="2"/>
      <w:sz w:val="21"/>
      <w:lang w:val="en-US" w:eastAsia="zh-CN"/>
    </w:rPr>
  </w:style>
  <w:style w:type="character" w:customStyle="1" w:styleId="94">
    <w:name w:val="Body Text Indent Char"/>
    <w:autoRedefine/>
    <w:qFormat/>
    <w:uiPriority w:val="0"/>
    <w:rPr>
      <w:rFonts w:ascii="楷体_GB2312" w:eastAsia="楷体_GB2312"/>
      <w:sz w:val="32"/>
    </w:rPr>
  </w:style>
  <w:style w:type="character" w:customStyle="1" w:styleId="95">
    <w:name w:val="已访问的超链接1"/>
    <w:autoRedefine/>
    <w:qFormat/>
    <w:uiPriority w:val="0"/>
    <w:rPr>
      <w:color w:val="auto"/>
      <w:u w:val="none"/>
    </w:rPr>
  </w:style>
  <w:style w:type="character" w:customStyle="1" w:styleId="96">
    <w:name w:val="纯文本 Char Char Char"/>
    <w:autoRedefine/>
    <w:qFormat/>
    <w:uiPriority w:val="0"/>
    <w:rPr>
      <w:rFonts w:ascii="宋体" w:hAnsi="Courier New" w:eastAsia="宋体"/>
      <w:kern w:val="2"/>
      <w:sz w:val="21"/>
      <w:lang w:val="en-US" w:eastAsia="zh-CN"/>
    </w:rPr>
  </w:style>
  <w:style w:type="character" w:customStyle="1" w:styleId="97">
    <w:name w:val="普通文字1 Char"/>
    <w:autoRedefine/>
    <w:qFormat/>
    <w:uiPriority w:val="0"/>
    <w:rPr>
      <w:rFonts w:ascii="宋体" w:eastAsia="宋体"/>
      <w:kern w:val="2"/>
      <w:sz w:val="21"/>
      <w:lang w:val="en-US" w:eastAsia="zh-CN"/>
    </w:rPr>
  </w:style>
  <w:style w:type="character" w:customStyle="1" w:styleId="98">
    <w:name w:val="Comment Subject Char"/>
    <w:autoRedefine/>
    <w:qFormat/>
    <w:uiPriority w:val="0"/>
    <w:rPr>
      <w:b/>
    </w:rPr>
  </w:style>
  <w:style w:type="character" w:customStyle="1" w:styleId="99">
    <w:name w:val="Char Char28"/>
    <w:autoRedefine/>
    <w:qFormat/>
    <w:uiPriority w:val="0"/>
    <w:rPr>
      <w:rFonts w:ascii="Arial" w:hAnsi="Arial" w:eastAsia="黑体"/>
      <w:b/>
      <w:sz w:val="32"/>
    </w:rPr>
  </w:style>
  <w:style w:type="character" w:customStyle="1" w:styleId="100">
    <w:name w:val="Char Char23"/>
    <w:autoRedefine/>
    <w:qFormat/>
    <w:uiPriority w:val="0"/>
    <w:rPr>
      <w:rFonts w:ascii="Arial" w:hAnsi="Arial" w:eastAsia="黑体"/>
      <w:b/>
      <w:kern w:val="2"/>
      <w:sz w:val="24"/>
    </w:rPr>
  </w:style>
  <w:style w:type="character" w:customStyle="1" w:styleId="101">
    <w:name w:val="Char Char21"/>
    <w:autoRedefine/>
    <w:qFormat/>
    <w:uiPriority w:val="0"/>
    <w:rPr>
      <w:rFonts w:ascii="Arial" w:hAnsi="Arial" w:eastAsia="黑体"/>
      <w:kern w:val="2"/>
      <w:sz w:val="24"/>
    </w:rPr>
  </w:style>
  <w:style w:type="character" w:customStyle="1" w:styleId="102">
    <w:name w:val="Char Char2"/>
    <w:autoRedefine/>
    <w:qFormat/>
    <w:uiPriority w:val="0"/>
    <w:rPr>
      <w:rFonts w:ascii="宋体" w:hAnsi="Courier New" w:eastAsia="宋体"/>
      <w:kern w:val="2"/>
      <w:sz w:val="21"/>
      <w:lang w:val="en-US" w:eastAsia="zh-CN"/>
    </w:rPr>
  </w:style>
  <w:style w:type="character" w:customStyle="1" w:styleId="103">
    <w:name w:val="t1"/>
    <w:autoRedefine/>
    <w:qFormat/>
    <w:uiPriority w:val="0"/>
  </w:style>
  <w:style w:type="character" w:customStyle="1" w:styleId="104">
    <w:name w:val="华宇段落1 Char Char Char"/>
    <w:autoRedefine/>
    <w:qFormat/>
    <w:uiPriority w:val="0"/>
    <w:rPr>
      <w:rFonts w:eastAsia="宋体"/>
      <w:kern w:val="2"/>
      <w:sz w:val="24"/>
      <w:lang w:val="en-US" w:eastAsia="zh-CN"/>
    </w:rPr>
  </w:style>
  <w:style w:type="character" w:customStyle="1" w:styleId="105">
    <w:name w:val="正文首行缩进 字符"/>
    <w:basedOn w:val="76"/>
    <w:link w:val="59"/>
    <w:autoRedefine/>
    <w:qFormat/>
    <w:uiPriority w:val="0"/>
    <w:rPr>
      <w:rFonts w:ascii="Times New Roman" w:hAnsi="Times New Roman" w:eastAsia="宋体" w:cs="Times New Roman"/>
      <w:sz w:val="24"/>
      <w:szCs w:val="24"/>
    </w:rPr>
  </w:style>
  <w:style w:type="character" w:customStyle="1" w:styleId="106">
    <w:name w:val="纯文本 Char1"/>
    <w:autoRedefine/>
    <w:qFormat/>
    <w:uiPriority w:val="0"/>
    <w:rPr>
      <w:rFonts w:ascii="宋体" w:hAnsi="Courier New"/>
      <w:kern w:val="2"/>
      <w:sz w:val="21"/>
    </w:rPr>
  </w:style>
  <w:style w:type="character" w:customStyle="1" w:styleId="107">
    <w:name w:val="textcontents"/>
    <w:basedOn w:val="62"/>
    <w:autoRedefine/>
    <w:qFormat/>
    <w:uiPriority w:val="0"/>
    <w:rPr>
      <w:rFonts w:cs="Times New Roman"/>
    </w:rPr>
  </w:style>
  <w:style w:type="character" w:customStyle="1" w:styleId="108">
    <w:name w:val="Intense Quote Char2"/>
    <w:basedOn w:val="62"/>
    <w:autoRedefine/>
    <w:qFormat/>
    <w:uiPriority w:val="0"/>
    <w:rPr>
      <w:rFonts w:ascii="Times New Roman" w:hAnsi="Times New Roman" w:eastAsia="宋体" w:cs="Times New Roman"/>
      <w:b/>
      <w:bCs/>
      <w:i/>
      <w:iCs/>
      <w:color w:val="4F81BD"/>
      <w:sz w:val="20"/>
      <w:szCs w:val="20"/>
    </w:rPr>
  </w:style>
  <w:style w:type="character" w:customStyle="1" w:styleId="109">
    <w:name w:val="纯文本 Char"/>
    <w:basedOn w:val="62"/>
    <w:autoRedefine/>
    <w:qFormat/>
    <w:uiPriority w:val="0"/>
    <w:rPr>
      <w:rFonts w:ascii="宋体" w:hAnsi="Courier New" w:eastAsia="宋体" w:cs="Courier New"/>
      <w:sz w:val="21"/>
      <w:szCs w:val="21"/>
    </w:rPr>
  </w:style>
  <w:style w:type="character" w:customStyle="1" w:styleId="110">
    <w:name w:val="我的正文 Char Char"/>
    <w:link w:val="111"/>
    <w:autoRedefine/>
    <w:qFormat/>
    <w:uiPriority w:val="0"/>
    <w:rPr>
      <w:rFonts w:ascii="宋体" w:eastAsia="宋体"/>
      <w:sz w:val="21"/>
    </w:rPr>
  </w:style>
  <w:style w:type="paragraph" w:customStyle="1" w:styleId="111">
    <w:name w:val="我的正文"/>
    <w:basedOn w:val="1"/>
    <w:link w:val="110"/>
    <w:autoRedefine/>
    <w:qFormat/>
    <w:uiPriority w:val="0"/>
    <w:pPr>
      <w:widowControl/>
      <w:spacing w:line="360" w:lineRule="auto"/>
      <w:ind w:firstLine="420"/>
      <w:jc w:val="left"/>
    </w:pPr>
    <w:rPr>
      <w:rFonts w:ascii="宋体" w:hAnsi="Calibri"/>
      <w:kern w:val="0"/>
    </w:rPr>
  </w:style>
  <w:style w:type="character" w:customStyle="1" w:styleId="112">
    <w:name w:val="Title Char"/>
    <w:autoRedefine/>
    <w:qFormat/>
    <w:uiPriority w:val="0"/>
    <w:rPr>
      <w:rFonts w:eastAsia="黑体"/>
      <w:b/>
      <w:sz w:val="28"/>
      <w:lang w:val="en-GB"/>
    </w:rPr>
  </w:style>
  <w:style w:type="character" w:customStyle="1" w:styleId="113">
    <w:name w:val="正文文本缩进 3 字符"/>
    <w:basedOn w:val="62"/>
    <w:link w:val="47"/>
    <w:autoRedefine/>
    <w:qFormat/>
    <w:uiPriority w:val="0"/>
    <w:rPr>
      <w:rFonts w:ascii="Times New Roman" w:hAnsi="Times New Roman" w:eastAsia="宋体" w:cs="Times New Roman"/>
      <w:sz w:val="16"/>
      <w:szCs w:val="16"/>
    </w:rPr>
  </w:style>
  <w:style w:type="character" w:customStyle="1" w:styleId="114">
    <w:name w:val="Title1 Char"/>
    <w:autoRedefine/>
    <w:qFormat/>
    <w:uiPriority w:val="0"/>
    <w:rPr>
      <w:rFonts w:eastAsia="宋体"/>
      <w:b/>
      <w:kern w:val="44"/>
      <w:sz w:val="44"/>
      <w:lang w:val="en-US" w:eastAsia="zh-CN"/>
    </w:rPr>
  </w:style>
  <w:style w:type="character" w:customStyle="1" w:styleId="115">
    <w:name w:val="content"/>
    <w:basedOn w:val="62"/>
    <w:autoRedefine/>
    <w:qFormat/>
    <w:uiPriority w:val="0"/>
    <w:rPr>
      <w:rFonts w:cs="Times New Roman"/>
    </w:rPr>
  </w:style>
  <w:style w:type="character" w:customStyle="1" w:styleId="116">
    <w:name w:val="Char Char17"/>
    <w:autoRedefine/>
    <w:qFormat/>
    <w:uiPriority w:val="0"/>
    <w:rPr>
      <w:rFonts w:ascii="宋体" w:hAnsi="Courier New"/>
      <w:kern w:val="2"/>
      <w:sz w:val="21"/>
    </w:rPr>
  </w:style>
  <w:style w:type="character" w:customStyle="1" w:styleId="117">
    <w:name w:val="标准小四 Char Char"/>
    <w:autoRedefine/>
    <w:qFormat/>
    <w:uiPriority w:val="0"/>
    <w:rPr>
      <w:rFonts w:ascii="Arial" w:hAnsi="Arial" w:eastAsia="宋体"/>
      <w:kern w:val="2"/>
      <w:sz w:val="21"/>
      <w:lang w:val="en-US" w:eastAsia="zh-CN"/>
    </w:rPr>
  </w:style>
  <w:style w:type="character" w:customStyle="1" w:styleId="118">
    <w:name w:val="样式 宋体 小四"/>
    <w:autoRedefine/>
    <w:qFormat/>
    <w:uiPriority w:val="0"/>
    <w:rPr>
      <w:rFonts w:ascii="宋体" w:eastAsia="宋体"/>
      <w:sz w:val="24"/>
    </w:rPr>
  </w:style>
  <w:style w:type="character" w:customStyle="1" w:styleId="119">
    <w:name w:val="ih151"/>
    <w:autoRedefine/>
    <w:qFormat/>
    <w:uiPriority w:val="0"/>
    <w:rPr>
      <w:color w:val="666666"/>
      <w:sz w:val="18"/>
      <w:u w:val="none"/>
    </w:rPr>
  </w:style>
  <w:style w:type="character" w:customStyle="1" w:styleId="120">
    <w:name w:val="style13"/>
    <w:autoRedefine/>
    <w:qFormat/>
    <w:uiPriority w:val="0"/>
    <w:rPr>
      <w:sz w:val="18"/>
    </w:rPr>
  </w:style>
  <w:style w:type="character" w:customStyle="1" w:styleId="121">
    <w:name w:val="纯文本 字符"/>
    <w:basedOn w:val="62"/>
    <w:link w:val="30"/>
    <w:autoRedefine/>
    <w:qFormat/>
    <w:uiPriority w:val="99"/>
    <w:rPr>
      <w:rFonts w:ascii="宋体" w:hAnsi="Courier New" w:cs="Courier New"/>
      <w:kern w:val="2"/>
      <w:sz w:val="21"/>
      <w:szCs w:val="21"/>
    </w:rPr>
  </w:style>
  <w:style w:type="character" w:customStyle="1" w:styleId="122">
    <w:name w:val="标题 6 字符"/>
    <w:basedOn w:val="62"/>
    <w:link w:val="11"/>
    <w:autoRedefine/>
    <w:qFormat/>
    <w:uiPriority w:val="0"/>
    <w:rPr>
      <w:rFonts w:ascii="Arial" w:hAnsi="Arial" w:eastAsia="黑体" w:cs="Times New Roman"/>
      <w:b/>
      <w:bCs/>
      <w:sz w:val="24"/>
      <w:szCs w:val="24"/>
    </w:rPr>
  </w:style>
  <w:style w:type="character" w:customStyle="1" w:styleId="123">
    <w:name w:val="style131"/>
    <w:autoRedefine/>
    <w:qFormat/>
    <w:uiPriority w:val="0"/>
    <w:rPr>
      <w:sz w:val="18"/>
    </w:rPr>
  </w:style>
  <w:style w:type="character" w:customStyle="1" w:styleId="124">
    <w:name w:val="Char Char25"/>
    <w:autoRedefine/>
    <w:qFormat/>
    <w:uiPriority w:val="0"/>
    <w:rPr>
      <w:rFonts w:ascii="Arial" w:hAnsi="Arial" w:eastAsia="黑体"/>
      <w:b/>
      <w:kern w:val="2"/>
      <w:sz w:val="28"/>
    </w:rPr>
  </w:style>
  <w:style w:type="character" w:customStyle="1" w:styleId="125">
    <w:name w:val="不明显强调1"/>
    <w:basedOn w:val="62"/>
    <w:autoRedefine/>
    <w:qFormat/>
    <w:uiPriority w:val="0"/>
    <w:rPr>
      <w:i/>
    </w:rPr>
  </w:style>
  <w:style w:type="character" w:customStyle="1" w:styleId="126">
    <w:name w:val="标准文本 Char Char"/>
    <w:autoRedefine/>
    <w:qFormat/>
    <w:uiPriority w:val="0"/>
    <w:rPr>
      <w:rFonts w:eastAsia="宋体"/>
      <w:kern w:val="2"/>
      <w:sz w:val="24"/>
      <w:lang w:val="en-US" w:eastAsia="zh-CN"/>
    </w:rPr>
  </w:style>
  <w:style w:type="character" w:customStyle="1" w:styleId="127">
    <w:name w:val="Comment Subject Char1"/>
    <w:basedOn w:val="128"/>
    <w:autoRedefine/>
    <w:qFormat/>
    <w:uiPriority w:val="0"/>
    <w:rPr>
      <w:rFonts w:ascii="Times New Roman" w:hAnsi="Times New Roman" w:eastAsia="宋体" w:cs="Times New Roman"/>
      <w:b/>
      <w:bCs/>
      <w:kern w:val="2"/>
      <w:sz w:val="21"/>
      <w:szCs w:val="20"/>
    </w:rPr>
  </w:style>
  <w:style w:type="character" w:customStyle="1" w:styleId="128">
    <w:name w:val="批注文字 字符"/>
    <w:basedOn w:val="62"/>
    <w:link w:val="22"/>
    <w:autoRedefine/>
    <w:qFormat/>
    <w:uiPriority w:val="99"/>
    <w:rPr>
      <w:rFonts w:ascii="Times New Roman" w:hAnsi="Times New Roman" w:eastAsia="宋体" w:cs="Times New Roman"/>
      <w:sz w:val="20"/>
      <w:szCs w:val="20"/>
    </w:rPr>
  </w:style>
  <w:style w:type="character" w:customStyle="1" w:styleId="129">
    <w:name w:val="normalfont1"/>
    <w:autoRedefine/>
    <w:qFormat/>
    <w:uiPriority w:val="0"/>
    <w:rPr>
      <w:rFonts w:ascii="??" w:hAnsi="??"/>
      <w:sz w:val="18"/>
      <w:u w:val="none"/>
    </w:rPr>
  </w:style>
  <w:style w:type="character" w:customStyle="1" w:styleId="130">
    <w:name w:val="小四 段落 宋体 Char Char Char Char Char Char Char Char"/>
    <w:autoRedefine/>
    <w:qFormat/>
    <w:uiPriority w:val="0"/>
    <w:rPr>
      <w:rFonts w:eastAsia="宋体"/>
      <w:kern w:val="2"/>
      <w:sz w:val="24"/>
      <w:lang w:val="en-US" w:eastAsia="zh-CN"/>
    </w:rPr>
  </w:style>
  <w:style w:type="character" w:customStyle="1" w:styleId="131">
    <w:name w:val="签名 字符"/>
    <w:basedOn w:val="62"/>
    <w:link w:val="39"/>
    <w:autoRedefine/>
    <w:qFormat/>
    <w:uiPriority w:val="0"/>
    <w:rPr>
      <w:rFonts w:ascii="Times New Roman" w:hAnsi="Times New Roman" w:eastAsia="仿宋_GB2312" w:cs="Times New Roman"/>
      <w:kern w:val="0"/>
      <w:sz w:val="20"/>
      <w:szCs w:val="20"/>
    </w:rPr>
  </w:style>
  <w:style w:type="character" w:customStyle="1" w:styleId="132">
    <w:name w:val="标题 Char1"/>
    <w:autoRedefine/>
    <w:qFormat/>
    <w:uiPriority w:val="0"/>
    <w:rPr>
      <w:rFonts w:ascii="Cambria" w:eastAsia="宋体"/>
      <w:b/>
      <w:sz w:val="32"/>
    </w:rPr>
  </w:style>
  <w:style w:type="character" w:customStyle="1" w:styleId="133">
    <w:name w:val="脚注文本 字符"/>
    <w:basedOn w:val="62"/>
    <w:link w:val="45"/>
    <w:autoRedefine/>
    <w:qFormat/>
    <w:uiPriority w:val="0"/>
    <w:rPr>
      <w:rFonts w:ascii="Times New Roman" w:hAnsi="Times New Roman" w:eastAsia="宋体" w:cs="Times New Roman"/>
      <w:sz w:val="18"/>
      <w:szCs w:val="18"/>
    </w:rPr>
  </w:style>
  <w:style w:type="character" w:customStyle="1" w:styleId="134">
    <w:name w:val="页眉 字符"/>
    <w:basedOn w:val="62"/>
    <w:link w:val="38"/>
    <w:autoRedefine/>
    <w:qFormat/>
    <w:uiPriority w:val="0"/>
    <w:rPr>
      <w:rFonts w:cs="Times New Roman"/>
      <w:sz w:val="18"/>
      <w:szCs w:val="18"/>
    </w:rPr>
  </w:style>
  <w:style w:type="character" w:customStyle="1" w:styleId="135">
    <w:name w:val="Quote Char Char"/>
    <w:autoRedefine/>
    <w:qFormat/>
    <w:uiPriority w:val="0"/>
    <w:rPr>
      <w:rFonts w:ascii="Calibri" w:hAnsi="Calibri"/>
      <w:i/>
      <w:sz w:val="22"/>
      <w:lang w:eastAsia="en-US"/>
    </w:rPr>
  </w:style>
  <w:style w:type="character" w:customStyle="1" w:styleId="136">
    <w:name w:val="content_lineheight1"/>
    <w:basedOn w:val="62"/>
    <w:autoRedefine/>
    <w:qFormat/>
    <w:uiPriority w:val="0"/>
    <w:rPr>
      <w:rFonts w:cs="Times New Roman"/>
    </w:rPr>
  </w:style>
  <w:style w:type="character" w:customStyle="1" w:styleId="137">
    <w:name w:val="标题 7 字符"/>
    <w:basedOn w:val="62"/>
    <w:link w:val="12"/>
    <w:autoRedefine/>
    <w:qFormat/>
    <w:uiPriority w:val="0"/>
    <w:rPr>
      <w:rFonts w:ascii="Times New Roman" w:hAnsi="Times New Roman" w:eastAsia="宋体" w:cs="Times New Roman"/>
      <w:b/>
      <w:bCs/>
      <w:sz w:val="24"/>
      <w:szCs w:val="24"/>
    </w:rPr>
  </w:style>
  <w:style w:type="character" w:customStyle="1" w:styleId="138">
    <w:name w:val="Title Char1"/>
    <w:basedOn w:val="62"/>
    <w:autoRedefine/>
    <w:qFormat/>
    <w:uiPriority w:val="0"/>
    <w:rPr>
      <w:rFonts w:ascii="Cambria" w:hAnsi="Cambria" w:cs="Times New Roman"/>
      <w:b/>
      <w:bCs/>
      <w:kern w:val="2"/>
      <w:sz w:val="32"/>
      <w:szCs w:val="32"/>
    </w:rPr>
  </w:style>
  <w:style w:type="character" w:customStyle="1" w:styleId="139">
    <w:name w:val="正文 + 宋体 Char"/>
    <w:autoRedefine/>
    <w:qFormat/>
    <w:uiPriority w:val="0"/>
    <w:rPr>
      <w:rFonts w:eastAsia="宋体"/>
      <w:kern w:val="2"/>
      <w:sz w:val="24"/>
      <w:lang w:val="en-US" w:eastAsia="zh-CN"/>
    </w:rPr>
  </w:style>
  <w:style w:type="character" w:customStyle="1" w:styleId="140">
    <w:name w:val="日期 字符"/>
    <w:basedOn w:val="62"/>
    <w:link w:val="33"/>
    <w:autoRedefine/>
    <w:qFormat/>
    <w:uiPriority w:val="0"/>
    <w:rPr>
      <w:rFonts w:ascii="Times New Roman" w:hAnsi="Times New Roman" w:eastAsia="宋体" w:cs="Times New Roman"/>
      <w:sz w:val="20"/>
      <w:szCs w:val="20"/>
    </w:rPr>
  </w:style>
  <w:style w:type="character" w:customStyle="1" w:styleId="141">
    <w:name w:val="特点 Char1"/>
    <w:autoRedefine/>
    <w:qFormat/>
    <w:uiPriority w:val="0"/>
    <w:rPr>
      <w:rFonts w:eastAsia="宋体"/>
      <w:kern w:val="2"/>
      <w:sz w:val="21"/>
      <w:lang w:val="en-US" w:eastAsia="zh-CN"/>
    </w:rPr>
  </w:style>
  <w:style w:type="character" w:customStyle="1" w:styleId="142">
    <w:name w:val="表格抬头 Char Char"/>
    <w:link w:val="143"/>
    <w:autoRedefine/>
    <w:qFormat/>
    <w:uiPriority w:val="0"/>
    <w:rPr>
      <w:rFonts w:ascii="黑体" w:eastAsia="黑体"/>
      <w:b/>
    </w:rPr>
  </w:style>
  <w:style w:type="paragraph" w:customStyle="1" w:styleId="143">
    <w:name w:val="表格抬头"/>
    <w:basedOn w:val="1"/>
    <w:link w:val="142"/>
    <w:autoRedefine/>
    <w:qFormat/>
    <w:uiPriority w:val="0"/>
    <w:pPr>
      <w:jc w:val="center"/>
    </w:pPr>
    <w:rPr>
      <w:rFonts w:ascii="黑体" w:hAnsi="Calibri" w:eastAsia="黑体"/>
      <w:b/>
      <w:kern w:val="0"/>
      <w:sz w:val="20"/>
    </w:rPr>
  </w:style>
  <w:style w:type="character" w:customStyle="1" w:styleId="144">
    <w:name w:val="批注主题 字符"/>
    <w:basedOn w:val="128"/>
    <w:link w:val="58"/>
    <w:autoRedefine/>
    <w:qFormat/>
    <w:uiPriority w:val="0"/>
    <w:rPr>
      <w:rFonts w:ascii="Times New Roman" w:hAnsi="Times New Roman" w:eastAsia="宋体" w:cs="Times New Roman"/>
      <w:b/>
      <w:bCs/>
      <w:sz w:val="20"/>
      <w:szCs w:val="20"/>
    </w:rPr>
  </w:style>
  <w:style w:type="character" w:customStyle="1" w:styleId="145">
    <w:name w:val="HTML Preformatted Char"/>
    <w:autoRedefine/>
    <w:qFormat/>
    <w:uiPriority w:val="0"/>
    <w:rPr>
      <w:rFonts w:ascii="黑体" w:hAnsi="Courier New" w:eastAsia="黑体"/>
    </w:rPr>
  </w:style>
  <w:style w:type="character" w:customStyle="1" w:styleId="146">
    <w:name w:val="h Char Char"/>
    <w:autoRedefine/>
    <w:qFormat/>
    <w:uiPriority w:val="0"/>
    <w:rPr>
      <w:rFonts w:eastAsia="宋体"/>
      <w:kern w:val="2"/>
      <w:sz w:val="18"/>
      <w:lang w:val="en-US" w:eastAsia="zh-CN"/>
    </w:rPr>
  </w:style>
  <w:style w:type="character" w:customStyle="1" w:styleId="147">
    <w:name w:val="subtitle1"/>
    <w:autoRedefine/>
    <w:qFormat/>
    <w:uiPriority w:val="0"/>
    <w:rPr>
      <w:rFonts w:ascii="Georgia" w:hAnsi="Georgia"/>
      <w:b/>
      <w:color w:val="666666"/>
      <w:sz w:val="18"/>
    </w:rPr>
  </w:style>
  <w:style w:type="character" w:customStyle="1" w:styleId="148">
    <w:name w:val="样式 非加粗"/>
    <w:autoRedefine/>
    <w:qFormat/>
    <w:uiPriority w:val="0"/>
    <w:rPr>
      <w:rFonts w:eastAsia="宋体"/>
      <w:sz w:val="28"/>
    </w:rPr>
  </w:style>
  <w:style w:type="character" w:customStyle="1" w:styleId="149">
    <w:name w:val="小四 段落 宋体 Char Char Char Char Char"/>
    <w:link w:val="150"/>
    <w:autoRedefine/>
    <w:qFormat/>
    <w:uiPriority w:val="0"/>
    <w:rPr>
      <w:rFonts w:eastAsia="宋体"/>
      <w:kern w:val="2"/>
      <w:sz w:val="24"/>
      <w:lang w:val="en-US" w:eastAsia="zh-CN"/>
    </w:rPr>
  </w:style>
  <w:style w:type="paragraph" w:customStyle="1" w:styleId="150">
    <w:name w:val="小四 段落 宋体"/>
    <w:basedOn w:val="19"/>
    <w:link w:val="149"/>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1">
    <w:name w:val="标题 8 字符"/>
    <w:basedOn w:val="62"/>
    <w:link w:val="13"/>
    <w:autoRedefine/>
    <w:qFormat/>
    <w:uiPriority w:val="0"/>
    <w:rPr>
      <w:rFonts w:ascii="Arial" w:hAnsi="Arial" w:eastAsia="黑体" w:cs="Times New Roman"/>
      <w:sz w:val="24"/>
      <w:szCs w:val="24"/>
    </w:rPr>
  </w:style>
  <w:style w:type="character" w:customStyle="1" w:styleId="152">
    <w:name w:val="Document Map Char"/>
    <w:autoRedefine/>
    <w:qFormat/>
    <w:uiPriority w:val="0"/>
    <w:rPr>
      <w:shd w:val="clear" w:color="auto" w:fill="000080"/>
    </w:rPr>
  </w:style>
  <w:style w:type="character" w:customStyle="1" w:styleId="153">
    <w:name w:val="para_small"/>
    <w:basedOn w:val="62"/>
    <w:autoRedefine/>
    <w:qFormat/>
    <w:uiPriority w:val="0"/>
    <w:rPr>
      <w:rFonts w:cs="Times New Roman"/>
    </w:rPr>
  </w:style>
  <w:style w:type="character" w:customStyle="1" w:styleId="154">
    <w:name w:val="2nd level Char"/>
    <w:autoRedefine/>
    <w:qFormat/>
    <w:uiPriority w:val="0"/>
    <w:rPr>
      <w:rFonts w:ascii="Arial" w:hAnsi="Arial" w:eastAsia="黑体"/>
      <w:b/>
      <w:kern w:val="2"/>
      <w:sz w:val="32"/>
      <w:lang w:val="en-US" w:eastAsia="zh-CN"/>
    </w:rPr>
  </w:style>
  <w:style w:type="character" w:customStyle="1" w:styleId="155">
    <w:name w:val="小四 段落 宋体 Char Char Char Char1"/>
    <w:autoRedefine/>
    <w:qFormat/>
    <w:uiPriority w:val="0"/>
    <w:rPr>
      <w:rFonts w:eastAsia="宋体"/>
      <w:kern w:val="2"/>
      <w:sz w:val="24"/>
      <w:lang w:val="en-US" w:eastAsia="zh-CN"/>
    </w:rPr>
  </w:style>
  <w:style w:type="character" w:customStyle="1" w:styleId="156">
    <w:name w:val="Body Text Indent 2 Char1"/>
    <w:basedOn w:val="62"/>
    <w:autoRedefine/>
    <w:qFormat/>
    <w:uiPriority w:val="0"/>
    <w:rPr>
      <w:rFonts w:ascii="Times New Roman" w:hAnsi="Times New Roman"/>
      <w:kern w:val="2"/>
      <w:sz w:val="21"/>
    </w:rPr>
  </w:style>
  <w:style w:type="character" w:customStyle="1" w:styleId="157">
    <w:name w:val="标题 9 字符"/>
    <w:basedOn w:val="62"/>
    <w:link w:val="14"/>
    <w:autoRedefine/>
    <w:qFormat/>
    <w:uiPriority w:val="0"/>
    <w:rPr>
      <w:rFonts w:ascii="Arial" w:hAnsi="Arial" w:eastAsia="黑体" w:cs="Times New Roman"/>
      <w:sz w:val="21"/>
      <w:szCs w:val="21"/>
    </w:rPr>
  </w:style>
  <w:style w:type="character" w:customStyle="1" w:styleId="158">
    <w:name w:val="明显强调1"/>
    <w:basedOn w:val="62"/>
    <w:autoRedefine/>
    <w:qFormat/>
    <w:uiPriority w:val="0"/>
    <w:rPr>
      <w:b/>
    </w:rPr>
  </w:style>
  <w:style w:type="character" w:customStyle="1" w:styleId="159">
    <w:name w:val="标题 2 字符"/>
    <w:basedOn w:val="62"/>
    <w:link w:val="3"/>
    <w:autoRedefine/>
    <w:qFormat/>
    <w:uiPriority w:val="0"/>
    <w:rPr>
      <w:rFonts w:ascii="宋体" w:hAnsi="宋体" w:eastAsia="宋体" w:cs="Times New Roman"/>
      <w:b/>
      <w:sz w:val="24"/>
      <w:szCs w:val="24"/>
    </w:rPr>
  </w:style>
  <w:style w:type="character" w:customStyle="1" w:styleId="160">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1">
    <w:name w:val="Quote Char2"/>
    <w:basedOn w:val="62"/>
    <w:autoRedefine/>
    <w:qFormat/>
    <w:uiPriority w:val="0"/>
    <w:rPr>
      <w:rFonts w:ascii="Times New Roman" w:hAnsi="Times New Roman" w:eastAsia="宋体" w:cs="Times New Roman"/>
      <w:i/>
      <w:iCs/>
      <w:color w:val="000000"/>
      <w:sz w:val="20"/>
      <w:szCs w:val="20"/>
    </w:rPr>
  </w:style>
  <w:style w:type="character" w:customStyle="1" w:styleId="162">
    <w:name w:val="小四 段落 宋体 Char Char Char1"/>
    <w:autoRedefine/>
    <w:qFormat/>
    <w:uiPriority w:val="0"/>
    <w:rPr>
      <w:rFonts w:ascii="宋体" w:hAnsi="宋体" w:eastAsia="宋体"/>
      <w:kern w:val="2"/>
      <w:sz w:val="24"/>
      <w:lang w:val="en-US" w:eastAsia="zh-CN"/>
    </w:rPr>
  </w:style>
  <w:style w:type="character" w:customStyle="1" w:styleId="163">
    <w:name w:val="正文文本缩进 2 字符"/>
    <w:basedOn w:val="62"/>
    <w:link w:val="34"/>
    <w:autoRedefine/>
    <w:qFormat/>
    <w:uiPriority w:val="0"/>
    <w:rPr>
      <w:rFonts w:ascii="Times New Roman" w:hAnsi="Times New Roman" w:eastAsia="宋体" w:cs="Times New Roman"/>
      <w:sz w:val="20"/>
      <w:szCs w:val="20"/>
    </w:rPr>
  </w:style>
  <w:style w:type="character" w:customStyle="1" w:styleId="164">
    <w:name w:val="Quote Char1"/>
    <w:basedOn w:val="62"/>
    <w:link w:val="165"/>
    <w:autoRedefine/>
    <w:qFormat/>
    <w:uiPriority w:val="0"/>
    <w:rPr>
      <w:rFonts w:ascii="Times New Roman" w:hAnsi="Times New Roman"/>
      <w:i/>
      <w:iCs/>
      <w:color w:val="000000"/>
      <w:kern w:val="2"/>
      <w:sz w:val="21"/>
    </w:rPr>
  </w:style>
  <w:style w:type="paragraph" w:customStyle="1" w:styleId="165">
    <w:name w:val="引用1"/>
    <w:basedOn w:val="1"/>
    <w:next w:val="1"/>
    <w:link w:val="164"/>
    <w:autoRedefine/>
    <w:qFormat/>
    <w:uiPriority w:val="0"/>
    <w:pPr>
      <w:widowControl/>
      <w:spacing w:before="200" w:line="276" w:lineRule="auto"/>
      <w:ind w:left="360" w:right="360"/>
      <w:jc w:val="left"/>
    </w:pPr>
    <w:rPr>
      <w:i/>
      <w:iCs/>
      <w:color w:val="000000"/>
      <w:sz w:val="20"/>
    </w:rPr>
  </w:style>
  <w:style w:type="character" w:customStyle="1" w:styleId="166">
    <w:name w:val="文档结构图 Char"/>
    <w:basedOn w:val="62"/>
    <w:autoRedefine/>
    <w:qFormat/>
    <w:uiPriority w:val="0"/>
    <w:rPr>
      <w:rFonts w:ascii="宋体" w:hAnsi="Times New Roman" w:eastAsia="宋体" w:cs="Times New Roman"/>
      <w:sz w:val="18"/>
      <w:szCs w:val="18"/>
    </w:rPr>
  </w:style>
  <w:style w:type="character" w:customStyle="1" w:styleId="167">
    <w:name w:val="HTML 预设格式 字符"/>
    <w:basedOn w:val="62"/>
    <w:link w:val="54"/>
    <w:autoRedefine/>
    <w:qFormat/>
    <w:uiPriority w:val="0"/>
    <w:rPr>
      <w:rFonts w:ascii="Courier New" w:hAnsi="Courier New" w:cs="Courier New"/>
      <w:kern w:val="2"/>
    </w:rPr>
  </w:style>
  <w:style w:type="character" w:customStyle="1" w:styleId="168">
    <w:name w:val="标准文本 Char Char Char"/>
    <w:autoRedefine/>
    <w:qFormat/>
    <w:uiPriority w:val="0"/>
    <w:rPr>
      <w:rFonts w:eastAsia="宋体"/>
      <w:kern w:val="2"/>
      <w:sz w:val="24"/>
      <w:lang w:val="en-US" w:eastAsia="zh-CN"/>
    </w:rPr>
  </w:style>
  <w:style w:type="character" w:customStyle="1" w:styleId="169">
    <w:name w:val="正文文本缩进 字符"/>
    <w:basedOn w:val="62"/>
    <w:link w:val="6"/>
    <w:autoRedefine/>
    <w:qFormat/>
    <w:uiPriority w:val="0"/>
    <w:rPr>
      <w:rFonts w:ascii="Times New Roman" w:hAnsi="Times New Roman"/>
      <w:kern w:val="2"/>
      <w:sz w:val="21"/>
    </w:rPr>
  </w:style>
  <w:style w:type="character" w:customStyle="1" w:styleId="170">
    <w:name w:val="标题 字符"/>
    <w:basedOn w:val="62"/>
    <w:link w:val="57"/>
    <w:autoRedefine/>
    <w:qFormat/>
    <w:uiPriority w:val="0"/>
    <w:rPr>
      <w:rFonts w:ascii="Cambria" w:hAnsi="Cambria" w:eastAsia="宋体" w:cs="Times New Roman"/>
      <w:b/>
      <w:bCs/>
      <w:sz w:val="32"/>
      <w:szCs w:val="32"/>
    </w:rPr>
  </w:style>
  <w:style w:type="character" w:customStyle="1" w:styleId="171">
    <w:name w:val="纯文本 Char Char"/>
    <w:autoRedefine/>
    <w:qFormat/>
    <w:uiPriority w:val="0"/>
    <w:rPr>
      <w:rFonts w:ascii="宋体" w:hAnsi="Courier New" w:eastAsia="宋体"/>
      <w:kern w:val="2"/>
      <w:sz w:val="21"/>
      <w:lang w:val="en-US" w:eastAsia="zh-CN"/>
    </w:rPr>
  </w:style>
  <w:style w:type="character" w:customStyle="1" w:styleId="172">
    <w:name w:val="case31"/>
    <w:autoRedefine/>
    <w:qFormat/>
    <w:uiPriority w:val="0"/>
    <w:rPr>
      <w:sz w:val="21"/>
    </w:rPr>
  </w:style>
  <w:style w:type="character" w:customStyle="1" w:styleId="173">
    <w:name w:val="正文文本 2 字符"/>
    <w:basedOn w:val="62"/>
    <w:link w:val="53"/>
    <w:autoRedefine/>
    <w:qFormat/>
    <w:uiPriority w:val="0"/>
    <w:rPr>
      <w:rFonts w:ascii="楷体_GB2312" w:hAnsi="Times New Roman" w:eastAsia="楷体_GB2312" w:cs="Times New Roman"/>
      <w:sz w:val="20"/>
      <w:szCs w:val="20"/>
    </w:rPr>
  </w:style>
  <w:style w:type="character" w:customStyle="1" w:styleId="174">
    <w:name w:val="标题 3 Char Char"/>
    <w:autoRedefine/>
    <w:qFormat/>
    <w:uiPriority w:val="0"/>
    <w:rPr>
      <w:rFonts w:eastAsia="仿宋_GB2312"/>
      <w:b/>
      <w:kern w:val="2"/>
      <w:sz w:val="32"/>
      <w:lang w:val="en-US" w:eastAsia="zh-CN"/>
    </w:rPr>
  </w:style>
  <w:style w:type="character" w:customStyle="1" w:styleId="175">
    <w:name w:val="正文缩进 Char1"/>
    <w:link w:val="176"/>
    <w:autoRedefine/>
    <w:qFormat/>
    <w:uiPriority w:val="0"/>
    <w:rPr>
      <w:rFonts w:ascii="Times New Roman" w:hAnsi="Times New Roman" w:eastAsia="宋体"/>
      <w:kern w:val="0"/>
      <w:sz w:val="20"/>
    </w:rPr>
  </w:style>
  <w:style w:type="paragraph" w:customStyle="1" w:styleId="176">
    <w:name w:val="正文缩进1"/>
    <w:basedOn w:val="1"/>
    <w:link w:val="175"/>
    <w:autoRedefine/>
    <w:qFormat/>
    <w:uiPriority w:val="0"/>
    <w:pPr>
      <w:ind w:firstLine="420"/>
    </w:pPr>
    <w:rPr>
      <w:kern w:val="0"/>
      <w:sz w:val="20"/>
    </w:rPr>
  </w:style>
  <w:style w:type="character" w:customStyle="1" w:styleId="177">
    <w:name w:val="新图表正文 Char Char"/>
    <w:link w:val="178"/>
    <w:autoRedefine/>
    <w:qFormat/>
    <w:uiPriority w:val="0"/>
    <w:rPr>
      <w:rFonts w:ascii="宋体" w:hAnsi="宋体"/>
      <w:kern w:val="2"/>
      <w:sz w:val="18"/>
      <w:szCs w:val="21"/>
      <w:lang w:val="en-US" w:eastAsia="zh-CN" w:bidi="ar-SA"/>
    </w:rPr>
  </w:style>
  <w:style w:type="paragraph" w:customStyle="1" w:styleId="178">
    <w:name w:val="新图表正文"/>
    <w:link w:val="177"/>
    <w:autoRedefine/>
    <w:qFormat/>
    <w:uiPriority w:val="0"/>
    <w:pPr>
      <w:jc w:val="both"/>
    </w:pPr>
    <w:rPr>
      <w:rFonts w:ascii="宋体" w:hAnsi="宋体" w:eastAsia="宋体" w:cs="Times New Roman"/>
      <w:kern w:val="2"/>
      <w:sz w:val="18"/>
      <w:szCs w:val="21"/>
      <w:lang w:val="en-US" w:eastAsia="zh-CN" w:bidi="ar-SA"/>
    </w:rPr>
  </w:style>
  <w:style w:type="character" w:customStyle="1" w:styleId="179">
    <w:name w:val="样式 首行缩进:  2 字符 Char Char Char"/>
    <w:autoRedefine/>
    <w:qFormat/>
    <w:uiPriority w:val="0"/>
    <w:rPr>
      <w:rFonts w:eastAsia="宋体"/>
      <w:kern w:val="2"/>
      <w:sz w:val="24"/>
      <w:lang w:val="en-US" w:eastAsia="zh-CN"/>
    </w:rPr>
  </w:style>
  <w:style w:type="character" w:customStyle="1" w:styleId="180">
    <w:name w:val="Intense Quote Char1"/>
    <w:basedOn w:val="62"/>
    <w:link w:val="181"/>
    <w:autoRedefine/>
    <w:qFormat/>
    <w:uiPriority w:val="0"/>
    <w:rPr>
      <w:rFonts w:ascii="Times New Roman" w:hAnsi="Times New Roman"/>
      <w:b/>
      <w:bCs/>
      <w:i/>
      <w:iCs/>
      <w:color w:val="4F81BD"/>
      <w:kern w:val="2"/>
      <w:sz w:val="21"/>
    </w:rPr>
  </w:style>
  <w:style w:type="paragraph" w:customStyle="1" w:styleId="181">
    <w:name w:val="明显引用1"/>
    <w:basedOn w:val="1"/>
    <w:next w:val="1"/>
    <w:link w:val="180"/>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2">
    <w:name w:val="Char Char20"/>
    <w:autoRedefine/>
    <w:qFormat/>
    <w:uiPriority w:val="0"/>
    <w:rPr>
      <w:rFonts w:ascii="Arial" w:hAnsi="Arial" w:eastAsia="黑体"/>
      <w:kern w:val="2"/>
      <w:sz w:val="21"/>
    </w:rPr>
  </w:style>
  <w:style w:type="character" w:customStyle="1" w:styleId="183">
    <w:name w:val="No Spacing Char Char"/>
    <w:link w:val="184"/>
    <w:autoRedefine/>
    <w:qFormat/>
    <w:uiPriority w:val="0"/>
    <w:rPr>
      <w:rFonts w:eastAsia="微软雅黑"/>
      <w:kern w:val="2"/>
      <w:sz w:val="24"/>
      <w:szCs w:val="22"/>
      <w:lang w:val="en-US" w:eastAsia="zh-CN" w:bidi="ar-SA"/>
    </w:rPr>
  </w:style>
  <w:style w:type="paragraph" w:customStyle="1" w:styleId="184">
    <w:name w:val="无间隔2"/>
    <w:link w:val="183"/>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5">
    <w:name w:val="小四 段落 宋体 Char Char Char Char Char Char"/>
    <w:autoRedefine/>
    <w:qFormat/>
    <w:uiPriority w:val="0"/>
    <w:rPr>
      <w:rFonts w:eastAsia="宋体"/>
      <w:kern w:val="2"/>
      <w:sz w:val="24"/>
      <w:lang w:val="en-US" w:eastAsia="zh-CN"/>
    </w:rPr>
  </w:style>
  <w:style w:type="character" w:customStyle="1" w:styleId="186">
    <w:name w:val="3zw"/>
    <w:basedOn w:val="62"/>
    <w:autoRedefine/>
    <w:qFormat/>
    <w:uiPriority w:val="0"/>
    <w:rPr>
      <w:rFonts w:cs="Times New Roman"/>
    </w:rPr>
  </w:style>
  <w:style w:type="character" w:customStyle="1" w:styleId="187">
    <w:name w:val="Intense Quote Char Char"/>
    <w:autoRedefine/>
    <w:qFormat/>
    <w:uiPriority w:val="0"/>
    <w:rPr>
      <w:rFonts w:ascii="Calibri" w:hAnsi="Calibri"/>
      <w:b/>
      <w:i/>
      <w:sz w:val="22"/>
      <w:lang w:eastAsia="en-US"/>
    </w:rPr>
  </w:style>
  <w:style w:type="character" w:customStyle="1" w:styleId="188">
    <w:name w:val="Body Text Indent 3 Char"/>
    <w:autoRedefine/>
    <w:qFormat/>
    <w:uiPriority w:val="0"/>
    <w:rPr>
      <w:rFonts w:ascii="Arial" w:hAnsi="Arial" w:eastAsia="仿宋_GB2312"/>
      <w:color w:val="FFFF00"/>
      <w:sz w:val="32"/>
    </w:rPr>
  </w:style>
  <w:style w:type="character" w:customStyle="1" w:styleId="189">
    <w:name w:val="A2"/>
    <w:autoRedefine/>
    <w:qFormat/>
    <w:uiPriority w:val="0"/>
    <w:rPr>
      <w:color w:val="000000"/>
      <w:sz w:val="18"/>
    </w:rPr>
  </w:style>
  <w:style w:type="character" w:customStyle="1" w:styleId="190">
    <w:name w:val="标题 1 字符"/>
    <w:basedOn w:val="62"/>
    <w:link w:val="2"/>
    <w:autoRedefine/>
    <w:qFormat/>
    <w:uiPriority w:val="0"/>
    <w:rPr>
      <w:rFonts w:ascii="黑体" w:hAnsi="Times New Roman" w:eastAsia="黑体" w:cs="Times New Roman"/>
      <w:b/>
      <w:kern w:val="44"/>
      <w:sz w:val="28"/>
      <w:szCs w:val="28"/>
    </w:rPr>
  </w:style>
  <w:style w:type="character" w:customStyle="1" w:styleId="191">
    <w:name w:val="明显参考1"/>
    <w:basedOn w:val="62"/>
    <w:autoRedefine/>
    <w:qFormat/>
    <w:uiPriority w:val="0"/>
    <w:rPr>
      <w:smallCaps/>
      <w:spacing w:val="5"/>
      <w:u w:val="single"/>
    </w:rPr>
  </w:style>
  <w:style w:type="character" w:customStyle="1" w:styleId="192">
    <w:name w:val="称呼 字符"/>
    <w:basedOn w:val="62"/>
    <w:link w:val="24"/>
    <w:autoRedefine/>
    <w:qFormat/>
    <w:uiPriority w:val="0"/>
    <w:rPr>
      <w:rFonts w:ascii="仿宋_GB2312" w:hAnsi="Times New Roman" w:eastAsia="仿宋_GB2312" w:cs="Times New Roman"/>
      <w:sz w:val="20"/>
      <w:szCs w:val="20"/>
    </w:rPr>
  </w:style>
  <w:style w:type="character" w:customStyle="1" w:styleId="193">
    <w:name w:val="111111 Char Char"/>
    <w:link w:val="194"/>
    <w:autoRedefine/>
    <w:qFormat/>
    <w:uiPriority w:val="0"/>
    <w:rPr>
      <w:rFonts w:ascii="宋体" w:hAnsi="宋体" w:eastAsia="黑体"/>
      <w:b/>
      <w:sz w:val="21"/>
    </w:rPr>
  </w:style>
  <w:style w:type="paragraph" w:customStyle="1" w:styleId="194">
    <w:name w:val="111111"/>
    <w:basedOn w:val="1"/>
    <w:link w:val="193"/>
    <w:autoRedefine/>
    <w:qFormat/>
    <w:uiPriority w:val="0"/>
    <w:pPr>
      <w:spacing w:before="120" w:after="120"/>
      <w:jc w:val="center"/>
    </w:pPr>
    <w:rPr>
      <w:rFonts w:ascii="宋体" w:hAnsi="宋体" w:eastAsia="黑体"/>
      <w:b/>
      <w:kern w:val="0"/>
    </w:rPr>
  </w:style>
  <w:style w:type="character" w:customStyle="1" w:styleId="195">
    <w:name w:val="小四 段落 宋体 Char1"/>
    <w:autoRedefine/>
    <w:qFormat/>
    <w:uiPriority w:val="0"/>
    <w:rPr>
      <w:rFonts w:eastAsia="宋体"/>
      <w:kern w:val="2"/>
      <w:sz w:val="24"/>
      <w:lang w:val="en-US" w:eastAsia="zh-CN"/>
    </w:rPr>
  </w:style>
  <w:style w:type="character" w:customStyle="1" w:styleId="196">
    <w:name w:val="文档结构图 字符"/>
    <w:basedOn w:val="62"/>
    <w:link w:val="21"/>
    <w:autoRedefine/>
    <w:qFormat/>
    <w:uiPriority w:val="0"/>
    <w:rPr>
      <w:rFonts w:ascii="Times New Roman" w:hAnsi="Times New Roman"/>
      <w:kern w:val="2"/>
      <w:sz w:val="16"/>
      <w:szCs w:val="0"/>
    </w:rPr>
  </w:style>
  <w:style w:type="character" w:customStyle="1" w:styleId="197">
    <w:name w:val="title_emph1"/>
    <w:autoRedefine/>
    <w:qFormat/>
    <w:uiPriority w:val="0"/>
    <w:rPr>
      <w:rFonts w:ascii="Arial"/>
      <w:b/>
      <w:sz w:val="18"/>
    </w:rPr>
  </w:style>
  <w:style w:type="character" w:customStyle="1" w:styleId="198">
    <w:name w:val="页脚 字符"/>
    <w:basedOn w:val="62"/>
    <w:link w:val="37"/>
    <w:autoRedefine/>
    <w:qFormat/>
    <w:uiPriority w:val="0"/>
    <w:rPr>
      <w:rFonts w:cs="Times New Roman"/>
      <w:sz w:val="18"/>
      <w:szCs w:val="18"/>
    </w:rPr>
  </w:style>
  <w:style w:type="character" w:customStyle="1" w:styleId="199">
    <w:name w:val="书籍标题1"/>
    <w:basedOn w:val="62"/>
    <w:autoRedefine/>
    <w:qFormat/>
    <w:uiPriority w:val="0"/>
    <w:rPr>
      <w:i/>
      <w:smallCaps/>
      <w:spacing w:val="5"/>
    </w:rPr>
  </w:style>
  <w:style w:type="character" w:customStyle="1" w:styleId="200">
    <w:name w:val="不明显参考1"/>
    <w:basedOn w:val="62"/>
    <w:autoRedefine/>
    <w:qFormat/>
    <w:uiPriority w:val="0"/>
    <w:rPr>
      <w:smallCaps/>
    </w:rPr>
  </w:style>
  <w:style w:type="character" w:customStyle="1" w:styleId="201">
    <w:name w:val="样式 首行缩进:  2 字符 Char Char"/>
    <w:link w:val="202"/>
    <w:autoRedefine/>
    <w:qFormat/>
    <w:uiPriority w:val="0"/>
    <w:rPr>
      <w:sz w:val="24"/>
    </w:rPr>
  </w:style>
  <w:style w:type="paragraph" w:customStyle="1" w:styleId="202">
    <w:name w:val="样式 首行缩进:  2 字符"/>
    <w:basedOn w:val="1"/>
    <w:link w:val="201"/>
    <w:autoRedefine/>
    <w:qFormat/>
    <w:uiPriority w:val="0"/>
    <w:pPr>
      <w:spacing w:line="360" w:lineRule="auto"/>
      <w:ind w:firstLine="480" w:firstLineChars="200"/>
    </w:pPr>
    <w:rPr>
      <w:rFonts w:ascii="Calibri" w:hAnsi="Calibri"/>
      <w:kern w:val="0"/>
      <w:sz w:val="24"/>
    </w:rPr>
  </w:style>
  <w:style w:type="character" w:customStyle="1" w:styleId="203">
    <w:name w:val="标题 3 字符"/>
    <w:basedOn w:val="62"/>
    <w:link w:val="8"/>
    <w:autoRedefine/>
    <w:qFormat/>
    <w:uiPriority w:val="0"/>
    <w:rPr>
      <w:rFonts w:ascii="宋体" w:hAnsi="宋体" w:eastAsia="宋体"/>
      <w:b/>
      <w:sz w:val="21"/>
      <w:shd w:val="clear" w:color="auto" w:fill="FFFFFF"/>
    </w:rPr>
  </w:style>
  <w:style w:type="character" w:customStyle="1" w:styleId="204">
    <w:name w:val="Char Char22"/>
    <w:autoRedefine/>
    <w:qFormat/>
    <w:uiPriority w:val="0"/>
    <w:rPr>
      <w:b/>
      <w:kern w:val="2"/>
      <w:sz w:val="24"/>
    </w:rPr>
  </w:style>
  <w:style w:type="character" w:customStyle="1" w:styleId="205">
    <w:name w:val="批注框文本 字符"/>
    <w:basedOn w:val="62"/>
    <w:link w:val="36"/>
    <w:autoRedefine/>
    <w:qFormat/>
    <w:uiPriority w:val="0"/>
    <w:rPr>
      <w:rFonts w:ascii="Times New Roman" w:hAnsi="Times New Roman" w:eastAsia="宋体" w:cs="Times New Roman"/>
      <w:sz w:val="18"/>
      <w:szCs w:val="18"/>
    </w:rPr>
  </w:style>
  <w:style w:type="character" w:customStyle="1" w:styleId="206">
    <w:name w:val="尾注文本 字符"/>
    <w:basedOn w:val="62"/>
    <w:link w:val="35"/>
    <w:autoRedefine/>
    <w:qFormat/>
    <w:uiPriority w:val="0"/>
    <w:rPr>
      <w:rFonts w:ascii="Times New Roman" w:hAnsi="Times New Roman" w:eastAsia="宋体" w:cs="Times New Roman"/>
      <w:kern w:val="0"/>
      <w:sz w:val="24"/>
      <w:szCs w:val="24"/>
    </w:rPr>
  </w:style>
  <w:style w:type="character" w:customStyle="1" w:styleId="207">
    <w:name w:val="point_normal1"/>
    <w:autoRedefine/>
    <w:qFormat/>
    <w:uiPriority w:val="0"/>
    <w:rPr>
      <w:rFonts w:ascii="Arial" w:hAnsi="Arial"/>
      <w:sz w:val="18"/>
    </w:rPr>
  </w:style>
  <w:style w:type="character" w:customStyle="1" w:styleId="208">
    <w:name w:val="Char Char26"/>
    <w:autoRedefine/>
    <w:qFormat/>
    <w:uiPriority w:val="0"/>
    <w:rPr>
      <w:b/>
      <w:kern w:val="2"/>
      <w:sz w:val="32"/>
    </w:rPr>
  </w:style>
  <w:style w:type="character" w:customStyle="1" w:styleId="209">
    <w:name w:val="Char Char24"/>
    <w:autoRedefine/>
    <w:qFormat/>
    <w:uiPriority w:val="0"/>
    <w:rPr>
      <w:b/>
      <w:kern w:val="2"/>
      <w:sz w:val="28"/>
    </w:rPr>
  </w:style>
  <w:style w:type="character" w:customStyle="1" w:styleId="210">
    <w:name w:val="concon"/>
    <w:autoRedefine/>
    <w:qFormat/>
    <w:uiPriority w:val="0"/>
  </w:style>
  <w:style w:type="paragraph" w:customStyle="1" w:styleId="211">
    <w:name w:val="标准文本"/>
    <w:basedOn w:val="1"/>
    <w:autoRedefine/>
    <w:qFormat/>
    <w:uiPriority w:val="0"/>
    <w:pPr>
      <w:spacing w:line="360" w:lineRule="auto"/>
      <w:ind w:firstLine="480" w:firstLineChars="200"/>
    </w:pPr>
    <w:rPr>
      <w:rFonts w:cs="宋体"/>
      <w:sz w:val="24"/>
      <w:szCs w:val="24"/>
    </w:rPr>
  </w:style>
  <w:style w:type="paragraph" w:customStyle="1" w:styleId="212">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13">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14">
    <w:name w:val="flType"/>
    <w:basedOn w:val="215"/>
    <w:autoRedefine/>
    <w:qFormat/>
    <w:uiPriority w:val="0"/>
    <w:pPr>
      <w:spacing w:after="284"/>
    </w:pPr>
    <w:rPr>
      <w:rFonts w:eastAsia="宋体"/>
      <w:b w:val="0"/>
    </w:rPr>
  </w:style>
  <w:style w:type="paragraph" w:customStyle="1" w:styleId="215">
    <w:name w:val="flName"/>
    <w:basedOn w:val="216"/>
    <w:autoRedefine/>
    <w:qFormat/>
    <w:uiPriority w:val="0"/>
    <w:pPr>
      <w:spacing w:before="0" w:line="113" w:lineRule="atLeast"/>
    </w:pPr>
  </w:style>
  <w:style w:type="paragraph" w:customStyle="1" w:styleId="216">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17">
    <w:name w:val="华宇段落1 Char"/>
    <w:basedOn w:val="1"/>
    <w:autoRedefine/>
    <w:qFormat/>
    <w:uiPriority w:val="0"/>
    <w:pPr>
      <w:spacing w:line="360" w:lineRule="auto"/>
      <w:ind w:firstLine="200" w:firstLineChars="200"/>
    </w:pPr>
    <w:rPr>
      <w:bCs/>
      <w:sz w:val="24"/>
      <w:szCs w:val="24"/>
    </w:rPr>
  </w:style>
  <w:style w:type="paragraph" w:customStyle="1" w:styleId="218">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19">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0">
    <w:name w:val="greytypebeni"/>
    <w:basedOn w:val="1"/>
    <w:autoRedefine/>
    <w:qFormat/>
    <w:uiPriority w:val="0"/>
    <w:pPr>
      <w:widowControl/>
      <w:jc w:val="left"/>
    </w:pPr>
    <w:rPr>
      <w:rFonts w:ascii="宋体" w:hAnsi="宋体" w:cs="宋体"/>
      <w:kern w:val="0"/>
      <w:sz w:val="24"/>
      <w:szCs w:val="24"/>
    </w:rPr>
  </w:style>
  <w:style w:type="paragraph" w:customStyle="1" w:styleId="221">
    <w:name w:val="Char Char1 Char Char Char Char1 Char Char Char Char Char Char"/>
    <w:basedOn w:val="1"/>
    <w:autoRedefine/>
    <w:qFormat/>
    <w:uiPriority w:val="0"/>
    <w:rPr>
      <w:rFonts w:ascii="Tahoma" w:hAnsi="Tahoma"/>
      <w:sz w:val="24"/>
    </w:rPr>
  </w:style>
  <w:style w:type="paragraph" w:customStyle="1" w:styleId="222">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23">
    <w:name w:val="Char Char1"/>
    <w:basedOn w:val="1"/>
    <w:autoRedefine/>
    <w:qFormat/>
    <w:uiPriority w:val="0"/>
    <w:rPr>
      <w:rFonts w:ascii="Tahoma" w:hAnsi="Tahoma" w:cs="Tahoma"/>
      <w:sz w:val="24"/>
    </w:rPr>
  </w:style>
  <w:style w:type="paragraph" w:customStyle="1" w:styleId="224">
    <w:name w:val="小四 段落 宋体 Char Char Char"/>
    <w:basedOn w:val="19"/>
    <w:autoRedefine/>
    <w:qFormat/>
    <w:uiPriority w:val="0"/>
    <w:pPr>
      <w:tabs>
        <w:tab w:val="clear" w:pos="2952"/>
      </w:tabs>
      <w:spacing w:line="360" w:lineRule="auto"/>
      <w:ind w:left="0" w:right="-33" w:firstLine="545" w:firstLineChars="227"/>
      <w:jc w:val="left"/>
    </w:pPr>
    <w:rPr>
      <w:sz w:val="24"/>
    </w:rPr>
  </w:style>
  <w:style w:type="paragraph" w:customStyle="1" w:styleId="225">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6">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27">
    <w:name w:val="中等深浅网格 1 - 强调文字颜色 21"/>
    <w:basedOn w:val="1"/>
    <w:autoRedefine/>
    <w:qFormat/>
    <w:uiPriority w:val="0"/>
    <w:pPr>
      <w:ind w:firstLine="420" w:firstLineChars="200"/>
    </w:pPr>
    <w:rPr>
      <w:rFonts w:ascii="Calibri" w:hAnsi="Calibri"/>
      <w:szCs w:val="22"/>
    </w:rPr>
  </w:style>
  <w:style w:type="paragraph" w:customStyle="1" w:styleId="22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2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21"/>
    <w:autoRedefine/>
    <w:qFormat/>
    <w:uiPriority w:val="0"/>
  </w:style>
  <w:style w:type="paragraph" w:customStyle="1" w:styleId="231">
    <w:name w:val="样式 样式 首行缩进:  2 字符 + 行距: 1.5 倍行距"/>
    <w:basedOn w:val="1"/>
    <w:autoRedefine/>
    <w:qFormat/>
    <w:uiPriority w:val="0"/>
    <w:pPr>
      <w:spacing w:line="360" w:lineRule="auto"/>
      <w:ind w:firstLine="470" w:firstLineChars="196"/>
    </w:pPr>
    <w:rPr>
      <w:sz w:val="24"/>
    </w:rPr>
  </w:style>
  <w:style w:type="paragraph" w:customStyle="1" w:styleId="232">
    <w:name w:val="正文11"/>
    <w:basedOn w:val="1"/>
    <w:next w:val="1"/>
    <w:autoRedefine/>
    <w:qFormat/>
    <w:uiPriority w:val="0"/>
    <w:pPr>
      <w:spacing w:before="156" w:line="360" w:lineRule="auto"/>
      <w:ind w:firstLine="510" w:firstLineChars="200"/>
    </w:pPr>
    <w:rPr>
      <w:sz w:val="24"/>
    </w:rPr>
  </w:style>
  <w:style w:type="paragraph" w:customStyle="1" w:styleId="233">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autoRedefine/>
    <w:qFormat/>
    <w:uiPriority w:val="0"/>
    <w:rPr>
      <w:rFonts w:ascii="Tahoma" w:hAnsi="Tahoma"/>
      <w:sz w:val="24"/>
    </w:rPr>
  </w:style>
  <w:style w:type="paragraph" w:customStyle="1" w:styleId="235">
    <w:name w:val="丁华正文"/>
    <w:basedOn w:val="47"/>
    <w:autoRedefine/>
    <w:qFormat/>
    <w:uiPriority w:val="0"/>
    <w:pPr>
      <w:adjustRightInd w:val="0"/>
      <w:snapToGrid w:val="0"/>
      <w:spacing w:line="360" w:lineRule="auto"/>
      <w:ind w:left="0" w:firstLine="510"/>
    </w:pPr>
    <w:rPr>
      <w:sz w:val="24"/>
    </w:rPr>
  </w:style>
  <w:style w:type="paragraph" w:customStyle="1" w:styleId="236">
    <w:name w:val="正文 居中"/>
    <w:basedOn w:val="1"/>
    <w:autoRedefine/>
    <w:qFormat/>
    <w:uiPriority w:val="0"/>
    <w:pPr>
      <w:spacing w:line="360" w:lineRule="auto"/>
      <w:jc w:val="center"/>
    </w:pPr>
    <w:rPr>
      <w:sz w:val="24"/>
    </w:rPr>
  </w:style>
  <w:style w:type="paragraph" w:customStyle="1" w:styleId="237">
    <w:name w:val="Char Char3"/>
    <w:basedOn w:val="1"/>
    <w:autoRedefine/>
    <w:qFormat/>
    <w:uiPriority w:val="0"/>
    <w:rPr>
      <w:rFonts w:ascii="Tahoma" w:hAnsi="Tahoma" w:cs="Tahoma"/>
      <w:sz w:val="24"/>
    </w:rPr>
  </w:style>
  <w:style w:type="paragraph" w:customStyle="1" w:styleId="238">
    <w:name w:val="Char Char Char Char Char"/>
    <w:basedOn w:val="1"/>
    <w:autoRedefine/>
    <w:qFormat/>
    <w:uiPriority w:val="0"/>
    <w:rPr>
      <w:rFonts w:ascii="Tahoma" w:hAnsi="Tahoma"/>
      <w:sz w:val="24"/>
    </w:rPr>
  </w:style>
  <w:style w:type="paragraph" w:customStyle="1" w:styleId="239">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autoRedefine/>
    <w:qFormat/>
    <w:uiPriority w:val="0"/>
    <w:rPr>
      <w:rFonts w:ascii="Tahoma" w:hAnsi="Tahoma" w:cs="Tahoma"/>
      <w:sz w:val="24"/>
    </w:rPr>
  </w:style>
  <w:style w:type="paragraph" w:customStyle="1" w:styleId="241">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42">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21"/>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autoRedefine/>
    <w:qFormat/>
    <w:uiPriority w:val="0"/>
    <w:pPr>
      <w:spacing w:line="360" w:lineRule="auto"/>
      <w:ind w:firstLine="480" w:firstLineChars="200"/>
    </w:pPr>
    <w:rPr>
      <w:rFonts w:ascii="Arial" w:hAnsi="Arial"/>
      <w:sz w:val="24"/>
      <w:szCs w:val="21"/>
    </w:rPr>
  </w:style>
  <w:style w:type="paragraph" w:customStyle="1" w:styleId="24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autoRedefine/>
    <w:qFormat/>
    <w:uiPriority w:val="0"/>
    <w:rPr>
      <w:rFonts w:ascii="Tahoma" w:hAnsi="Tahoma"/>
      <w:sz w:val="24"/>
    </w:rPr>
  </w:style>
  <w:style w:type="paragraph" w:customStyle="1" w:styleId="24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autoRedefine/>
    <w:qFormat/>
    <w:uiPriority w:val="0"/>
    <w:rPr>
      <w:sz w:val="24"/>
      <w:szCs w:val="24"/>
    </w:rPr>
  </w:style>
  <w:style w:type="paragraph" w:customStyle="1" w:styleId="251">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autoRedefine/>
    <w:qFormat/>
    <w:uiPriority w:val="0"/>
    <w:pPr>
      <w:tabs>
        <w:tab w:val="left" w:pos="693"/>
      </w:tabs>
      <w:ind w:left="482"/>
      <w:outlineLvl w:val="0"/>
    </w:pPr>
    <w:rPr>
      <w:color w:val="000000"/>
      <w:sz w:val="24"/>
      <w:szCs w:val="24"/>
    </w:rPr>
  </w:style>
  <w:style w:type="paragraph" w:customStyle="1" w:styleId="254">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56">
    <w:name w:val="正文表标题"/>
    <w:next w:val="248"/>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autoRedefine/>
    <w:qFormat/>
    <w:uiPriority w:val="0"/>
  </w:style>
  <w:style w:type="paragraph" w:customStyle="1" w:styleId="258">
    <w:name w:val="Char Char Char1"/>
    <w:basedOn w:val="21"/>
    <w:autoRedefine/>
    <w:qFormat/>
    <w:uiPriority w:val="0"/>
    <w:pPr>
      <w:spacing w:line="436" w:lineRule="exact"/>
    </w:pPr>
    <w:rPr>
      <w:szCs w:val="24"/>
    </w:rPr>
  </w:style>
  <w:style w:type="paragraph" w:customStyle="1" w:styleId="259">
    <w:name w:val="表格1"/>
    <w:basedOn w:val="1"/>
    <w:autoRedefine/>
    <w:qFormat/>
    <w:uiPriority w:val="0"/>
    <w:pPr>
      <w:adjustRightInd w:val="0"/>
      <w:textAlignment w:val="baseline"/>
    </w:pPr>
    <w:rPr>
      <w:rFonts w:ascii="宋体"/>
      <w:kern w:val="24"/>
      <w:szCs w:val="21"/>
    </w:rPr>
  </w:style>
  <w:style w:type="paragraph" w:customStyle="1" w:styleId="260">
    <w:name w:val="项目符号：一级"/>
    <w:basedOn w:val="254"/>
    <w:next w:val="254"/>
    <w:autoRedefine/>
    <w:qFormat/>
    <w:uiPriority w:val="0"/>
    <w:pPr>
      <w:ind w:right="-134" w:rightChars="-64"/>
    </w:pPr>
    <w:rPr>
      <w:bCs w:val="0"/>
    </w:rPr>
  </w:style>
  <w:style w:type="paragraph" w:customStyle="1" w:styleId="2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autoRedefine/>
    <w:qFormat/>
    <w:uiPriority w:val="0"/>
    <w:rPr>
      <w:rFonts w:ascii="Tahoma" w:hAnsi="Tahoma" w:cs="Tahoma"/>
      <w:sz w:val="24"/>
    </w:rPr>
  </w:style>
  <w:style w:type="paragraph" w:customStyle="1" w:styleId="263">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autoRedefine/>
    <w:qFormat/>
    <w:uiPriority w:val="0"/>
    <w:pPr>
      <w:spacing w:after="120"/>
      <w:ind w:left="420" w:leftChars="200"/>
    </w:pPr>
    <w:rPr>
      <w:szCs w:val="24"/>
    </w:rPr>
  </w:style>
  <w:style w:type="paragraph" w:customStyle="1" w:styleId="265">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6">
    <w:name w:val="表格"/>
    <w:basedOn w:val="1"/>
    <w:autoRedefine/>
    <w:qFormat/>
    <w:uiPriority w:val="0"/>
    <w:pPr>
      <w:snapToGrid w:val="0"/>
      <w:ind w:firstLine="21" w:firstLineChars="21"/>
    </w:pPr>
    <w:rPr>
      <w:rFonts w:ascii="宋体" w:hAnsi="宋体" w:cs="宋体"/>
      <w:kern w:val="0"/>
      <w:sz w:val="20"/>
    </w:rPr>
  </w:style>
  <w:style w:type="paragraph" w:customStyle="1" w:styleId="267">
    <w:name w:val="Char Char Char Char Char Char Char"/>
    <w:basedOn w:val="1"/>
    <w:autoRedefine/>
    <w:qFormat/>
    <w:uiPriority w:val="0"/>
    <w:pPr>
      <w:jc w:val="left"/>
    </w:pPr>
    <w:rPr>
      <w:rFonts w:ascii="Tahoma" w:hAnsi="Tahoma"/>
      <w:sz w:val="24"/>
    </w:rPr>
  </w:style>
  <w:style w:type="paragraph" w:customStyle="1" w:styleId="26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9">
    <w:name w:val="表格内文字"/>
    <w:basedOn w:val="1"/>
    <w:autoRedefine/>
    <w:qFormat/>
    <w:uiPriority w:val="0"/>
    <w:pPr>
      <w:spacing w:line="300" w:lineRule="atLeast"/>
    </w:pPr>
    <w:rPr>
      <w:sz w:val="18"/>
      <w:szCs w:val="24"/>
    </w:rPr>
  </w:style>
  <w:style w:type="paragraph" w:customStyle="1" w:styleId="270">
    <w:name w:val="样式3"/>
    <w:basedOn w:val="1"/>
    <w:next w:val="1"/>
    <w:autoRedefine/>
    <w:qFormat/>
    <w:uiPriority w:val="0"/>
    <w:pPr>
      <w:spacing w:line="360" w:lineRule="auto"/>
    </w:pPr>
  </w:style>
  <w:style w:type="paragraph" w:customStyle="1" w:styleId="271">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2">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4">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75">
    <w:name w:val="正文2"/>
    <w:basedOn w:val="1"/>
    <w:autoRedefine/>
    <w:qFormat/>
    <w:uiPriority w:val="0"/>
    <w:pPr>
      <w:spacing w:before="156" w:line="360" w:lineRule="auto"/>
      <w:ind w:firstLine="510" w:firstLineChars="200"/>
    </w:pPr>
    <w:rPr>
      <w:sz w:val="24"/>
    </w:rPr>
  </w:style>
  <w:style w:type="paragraph" w:customStyle="1" w:styleId="276">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77">
    <w:name w:val="章标题"/>
    <w:next w:val="248"/>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8">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79">
    <w:name w:val="Char1"/>
    <w:basedOn w:val="1"/>
    <w:autoRedefine/>
    <w:qFormat/>
    <w:uiPriority w:val="0"/>
    <w:rPr>
      <w:rFonts w:ascii="仿宋_GB2312" w:hAnsi="宋体" w:eastAsia="仿宋_GB2312" w:cs="宋体"/>
      <w:b/>
      <w:sz w:val="32"/>
      <w:szCs w:val="32"/>
    </w:rPr>
  </w:style>
  <w:style w:type="paragraph" w:customStyle="1" w:styleId="280">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8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2">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83">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标题3，章节第三层"/>
    <w:basedOn w:val="1"/>
    <w:next w:val="254"/>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86">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87">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88">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89">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0">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1">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9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3">
    <w:name w:val="标题 4宋体"/>
    <w:basedOn w:val="9"/>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5">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29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7">
    <w:name w:val="普通文字"/>
    <w:basedOn w:val="1"/>
    <w:next w:val="1"/>
    <w:autoRedefine/>
    <w:qFormat/>
    <w:uiPriority w:val="0"/>
    <w:rPr>
      <w:rFonts w:ascii="宋体" w:hAnsi="宋体" w:cs="宋体"/>
      <w:kern w:val="0"/>
      <w:sz w:val="24"/>
      <w:u w:color="000000"/>
    </w:rPr>
  </w:style>
  <w:style w:type="paragraph" w:customStyle="1" w:styleId="29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9">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0">
    <w:name w:val="标题3"/>
    <w:basedOn w:val="8"/>
    <w:autoRedefine/>
    <w:qFormat/>
    <w:uiPriority w:val="0"/>
    <w:pPr>
      <w:keepNext w:val="0"/>
      <w:keepLines w:val="0"/>
      <w:spacing w:line="360" w:lineRule="auto"/>
    </w:pPr>
    <w:rPr>
      <w:rFonts w:eastAsia="仿宋_GB2312"/>
      <w:b w:val="0"/>
      <w:bCs/>
      <w:sz w:val="30"/>
      <w:szCs w:val="32"/>
    </w:rPr>
  </w:style>
  <w:style w:type="paragraph" w:customStyle="1" w:styleId="301">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02">
    <w:name w:val="项目符号，一级"/>
    <w:basedOn w:val="254"/>
    <w:next w:val="254"/>
    <w:autoRedefine/>
    <w:qFormat/>
    <w:uiPriority w:val="0"/>
    <w:pPr>
      <w:tabs>
        <w:tab w:val="left" w:pos="1320"/>
      </w:tabs>
      <w:spacing w:line="240" w:lineRule="atLeast"/>
      <w:ind w:left="376" w:leftChars="179" w:firstLine="0"/>
    </w:pPr>
    <w:rPr>
      <w:bCs w:val="0"/>
      <w:color w:val="000000"/>
      <w:szCs w:val="24"/>
    </w:rPr>
  </w:style>
  <w:style w:type="paragraph" w:customStyle="1" w:styleId="30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5">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6">
    <w:name w:val="表头_5"/>
    <w:basedOn w:val="1"/>
    <w:autoRedefine/>
    <w:qFormat/>
    <w:uiPriority w:val="0"/>
    <w:pPr>
      <w:adjustRightInd w:val="0"/>
      <w:spacing w:line="360" w:lineRule="auto"/>
      <w:textAlignment w:val="baseline"/>
    </w:pPr>
    <w:rPr>
      <w:b/>
      <w:bCs/>
      <w:sz w:val="28"/>
      <w:szCs w:val="21"/>
    </w:rPr>
  </w:style>
  <w:style w:type="paragraph" w:customStyle="1" w:styleId="30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8">
    <w:name w:val="_Style 42"/>
    <w:basedOn w:val="1"/>
    <w:next w:val="26"/>
    <w:autoRedefine/>
    <w:qFormat/>
    <w:uiPriority w:val="0"/>
    <w:rPr>
      <w:rFonts w:ascii="楷体_GB2312" w:hAnsi="Arial" w:eastAsia="楷体_GB2312"/>
      <w:sz w:val="28"/>
    </w:rPr>
  </w:style>
  <w:style w:type="paragraph" w:customStyle="1" w:styleId="30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0">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1">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1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4">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5">
    <w:name w:val="Char Char Char Char Char Char Char Char Char Char Char Char Char"/>
    <w:basedOn w:val="21"/>
    <w:autoRedefine/>
    <w:qFormat/>
    <w:uiPriority w:val="0"/>
    <w:rPr>
      <w:rFonts w:ascii="Tahoma" w:hAnsi="Tahoma"/>
      <w:sz w:val="24"/>
      <w:szCs w:val="24"/>
    </w:rPr>
  </w:style>
  <w:style w:type="paragraph" w:customStyle="1" w:styleId="31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7">
    <w:name w:val="段落"/>
    <w:basedOn w:val="1"/>
    <w:autoRedefine/>
    <w:qFormat/>
    <w:uiPriority w:val="0"/>
    <w:pPr>
      <w:spacing w:line="460" w:lineRule="exact"/>
      <w:ind w:firstLine="480"/>
    </w:pPr>
    <w:rPr>
      <w:sz w:val="24"/>
    </w:rPr>
  </w:style>
  <w:style w:type="paragraph" w:customStyle="1" w:styleId="318">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19">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0">
    <w:name w:val="7"/>
    <w:basedOn w:val="1"/>
    <w:next w:val="55"/>
    <w:autoRedefine/>
    <w:qFormat/>
    <w:uiPriority w:val="0"/>
    <w:pPr>
      <w:widowControl/>
      <w:spacing w:before="100" w:beforeAutospacing="1" w:after="100" w:afterAutospacing="1"/>
      <w:jc w:val="left"/>
    </w:pPr>
    <w:rPr>
      <w:rFonts w:ascii="宋体" w:hAnsi="宋体"/>
      <w:kern w:val="0"/>
      <w:sz w:val="24"/>
    </w:rPr>
  </w:style>
  <w:style w:type="paragraph" w:customStyle="1" w:styleId="321">
    <w:name w:val="font9"/>
    <w:basedOn w:val="1"/>
    <w:autoRedefine/>
    <w:qFormat/>
    <w:uiPriority w:val="0"/>
    <w:pPr>
      <w:widowControl/>
      <w:spacing w:before="100" w:beforeAutospacing="1" w:after="100" w:afterAutospacing="1"/>
      <w:jc w:val="left"/>
    </w:pPr>
    <w:rPr>
      <w:b/>
      <w:bCs/>
      <w:kern w:val="0"/>
      <w:sz w:val="20"/>
    </w:rPr>
  </w:style>
  <w:style w:type="paragraph" w:customStyle="1" w:styleId="322">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3">
    <w:name w:val="Char1 Char Char Char"/>
    <w:basedOn w:val="1"/>
    <w:autoRedefine/>
    <w:qFormat/>
    <w:uiPriority w:val="0"/>
    <w:rPr>
      <w:rFonts w:ascii="Tahoma" w:hAnsi="Tahoma"/>
      <w:sz w:val="24"/>
    </w:rPr>
  </w:style>
  <w:style w:type="paragraph" w:customStyle="1" w:styleId="324">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25">
    <w:name w:val="样式2"/>
    <w:basedOn w:val="1"/>
    <w:autoRedefine/>
    <w:qFormat/>
    <w:uiPriority w:val="0"/>
    <w:pPr>
      <w:spacing w:line="360" w:lineRule="auto"/>
      <w:ind w:left="200" w:leftChars="200"/>
    </w:pPr>
    <w:rPr>
      <w:rFonts w:ascii="宋体" w:hAnsi="宋体"/>
      <w:b/>
      <w:sz w:val="24"/>
      <w:szCs w:val="24"/>
    </w:rPr>
  </w:style>
  <w:style w:type="paragraph" w:customStyle="1" w:styleId="326">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27">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8">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29">
    <w:name w:val="样式 加点正文 + 段前: 0.5 行 段后: 0.5 行1"/>
    <w:basedOn w:val="1"/>
    <w:autoRedefine/>
    <w:qFormat/>
    <w:uiPriority w:val="0"/>
    <w:pPr>
      <w:numPr>
        <w:ilvl w:val="0"/>
        <w:numId w:val="1"/>
      </w:numPr>
      <w:tabs>
        <w:tab w:val="left" w:pos="1268"/>
      </w:tabs>
      <w:spacing w:beforeLines="50" w:afterLines="50" w:line="300" w:lineRule="auto"/>
      <w:ind w:left="1268"/>
    </w:pPr>
    <w:rPr>
      <w:sz w:val="24"/>
    </w:rPr>
  </w:style>
  <w:style w:type="paragraph" w:customStyle="1" w:styleId="330">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1">
    <w:name w:val="1"/>
    <w:basedOn w:val="1"/>
    <w:next w:val="53"/>
    <w:autoRedefine/>
    <w:qFormat/>
    <w:uiPriority w:val="0"/>
    <w:pPr>
      <w:spacing w:line="360" w:lineRule="auto"/>
    </w:pPr>
    <w:rPr>
      <w:rFonts w:eastAsia="仿宋_GB2312"/>
      <w:sz w:val="24"/>
      <w:szCs w:val="24"/>
    </w:rPr>
  </w:style>
  <w:style w:type="paragraph" w:customStyle="1" w:styleId="332">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3">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3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小四 段落 宋体 Char"/>
    <w:basedOn w:val="19"/>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36">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7">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38">
    <w:name w:val="公文正文"/>
    <w:basedOn w:val="6"/>
    <w:autoRedefine/>
    <w:qFormat/>
    <w:uiPriority w:val="0"/>
    <w:pPr>
      <w:ind w:firstLine="200" w:firstLineChars="200"/>
    </w:pPr>
    <w:rPr>
      <w:rFonts w:ascii="仿宋_GB2312" w:hAnsi="宋体" w:eastAsia="仿宋_GB2312"/>
      <w:kern w:val="28"/>
      <w:sz w:val="28"/>
      <w:szCs w:val="24"/>
    </w:rPr>
  </w:style>
  <w:style w:type="paragraph" w:customStyle="1" w:styleId="339">
    <w:name w:val="马刚标题4"/>
    <w:basedOn w:val="340"/>
    <w:next w:val="1"/>
    <w:autoRedefine/>
    <w:qFormat/>
    <w:uiPriority w:val="0"/>
    <w:pPr>
      <w:tabs>
        <w:tab w:val="left" w:pos="567"/>
        <w:tab w:val="left" w:pos="735"/>
        <w:tab w:val="left" w:pos="1050"/>
      </w:tabs>
      <w:spacing w:before="100" w:after="40"/>
      <w:outlineLvl w:val="3"/>
    </w:pPr>
    <w:rPr>
      <w:b w:val="0"/>
    </w:rPr>
  </w:style>
  <w:style w:type="paragraph" w:customStyle="1" w:styleId="340">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1">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2">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3">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44">
    <w:name w:val="Item Step in Table"/>
    <w:autoRedefin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5">
    <w:name w:val="丁华标题3"/>
    <w:basedOn w:val="346"/>
    <w:next w:val="235"/>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6">
    <w:name w:val="丁华标题2"/>
    <w:basedOn w:val="3"/>
    <w:next w:val="235"/>
    <w:autoRedefine/>
    <w:qFormat/>
    <w:uiPriority w:val="0"/>
    <w:pPr>
      <w:numPr>
        <w:ilvl w:val="1"/>
        <w:numId w:val="3"/>
      </w:numPr>
      <w:spacing w:line="413" w:lineRule="auto"/>
    </w:pPr>
    <w:rPr>
      <w:rFonts w:ascii="Arial" w:hAnsi="Arial" w:eastAsia="黑体"/>
      <w:b w:val="0"/>
      <w:sz w:val="28"/>
      <w:szCs w:val="20"/>
    </w:rPr>
  </w:style>
  <w:style w:type="paragraph" w:customStyle="1" w:styleId="34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48">
    <w:name w:val="Char"/>
    <w:basedOn w:val="1"/>
    <w:autoRedefine/>
    <w:qFormat/>
    <w:uiPriority w:val="0"/>
    <w:pPr>
      <w:spacing w:afterLines="50" w:line="360" w:lineRule="auto"/>
    </w:pPr>
    <w:rPr>
      <w:rFonts w:ascii="Tahoma" w:hAnsi="Tahoma"/>
      <w:sz w:val="24"/>
    </w:rPr>
  </w:style>
  <w:style w:type="paragraph" w:customStyle="1" w:styleId="349">
    <w:name w:val="项目符号，二级"/>
    <w:basedOn w:val="254"/>
    <w:next w:val="254"/>
    <w:autoRedefine/>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0">
    <w:name w:val="_Style 1"/>
    <w:basedOn w:val="1"/>
    <w:autoRedefine/>
    <w:qFormat/>
    <w:uiPriority w:val="0"/>
    <w:pPr>
      <w:ind w:firstLine="420" w:firstLineChars="200"/>
    </w:pPr>
    <w:rPr>
      <w:rFonts w:ascii="Calibri" w:hAnsi="Calibri"/>
      <w:szCs w:val="22"/>
    </w:rPr>
  </w:style>
  <w:style w:type="paragraph" w:customStyle="1" w:styleId="351">
    <w:name w:val="Char Char Char Char Char Char Char Char Char Char Char Char Char Char1"/>
    <w:basedOn w:val="1"/>
    <w:autoRedefine/>
    <w:qFormat/>
    <w:uiPriority w:val="0"/>
    <w:rPr>
      <w:rFonts w:ascii="Tahoma" w:hAnsi="Tahoma" w:cs="Tahoma"/>
      <w:sz w:val="24"/>
    </w:rPr>
  </w:style>
  <w:style w:type="paragraph" w:customStyle="1" w:styleId="352">
    <w:name w:val="Char Char Char Char Char1"/>
    <w:basedOn w:val="1"/>
    <w:autoRedefine/>
    <w:qFormat/>
    <w:uiPriority w:val="0"/>
    <w:rPr>
      <w:rFonts w:ascii="Tahoma" w:hAnsi="Tahoma" w:cs="Tahoma"/>
      <w:sz w:val="24"/>
    </w:rPr>
  </w:style>
  <w:style w:type="paragraph" w:customStyle="1" w:styleId="35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4">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5">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56">
    <w:name w:val="样式1"/>
    <w:basedOn w:val="1"/>
    <w:autoRedefine/>
    <w:qFormat/>
    <w:uiPriority w:val="0"/>
    <w:pPr>
      <w:spacing w:line="300" w:lineRule="auto"/>
      <w:ind w:firstLine="480" w:firstLineChars="200"/>
    </w:pPr>
    <w:rPr>
      <w:sz w:val="24"/>
      <w:szCs w:val="24"/>
    </w:rPr>
  </w:style>
  <w:style w:type="paragraph" w:customStyle="1" w:styleId="357">
    <w:name w:val="Bullets L1"/>
    <w:basedOn w:val="1"/>
    <w:autoRedefine/>
    <w:qFormat/>
    <w:uiPriority w:val="0"/>
    <w:pPr>
      <w:widowControl/>
      <w:numPr>
        <w:ilvl w:val="0"/>
        <w:numId w:val="4"/>
      </w:numPr>
      <w:spacing w:before="60" w:after="60"/>
      <w:jc w:val="left"/>
    </w:pPr>
    <w:rPr>
      <w:rFonts w:ascii="Arial" w:hAnsi="Arial"/>
      <w:kern w:val="0"/>
      <w:sz w:val="20"/>
    </w:rPr>
  </w:style>
  <w:style w:type="paragraph" w:customStyle="1" w:styleId="358">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0">
    <w:name w:val="正文 首行缩进:  2 字符 Char"/>
    <w:basedOn w:val="1"/>
    <w:autoRedefine/>
    <w:qFormat/>
    <w:uiPriority w:val="0"/>
    <w:pPr>
      <w:spacing w:line="360" w:lineRule="auto"/>
      <w:ind w:firstLine="480"/>
    </w:pPr>
    <w:rPr>
      <w:rFonts w:cs="宋体"/>
      <w:sz w:val="24"/>
    </w:rPr>
  </w:style>
  <w:style w:type="paragraph" w:customStyle="1" w:styleId="361">
    <w:name w:val="Char2"/>
    <w:basedOn w:val="1"/>
    <w:autoRedefine/>
    <w:qFormat/>
    <w:uiPriority w:val="0"/>
    <w:rPr>
      <w:rFonts w:ascii="Tahoma" w:hAnsi="Tahoma" w:cs="仿宋_GB2312"/>
      <w:sz w:val="24"/>
      <w:szCs w:val="28"/>
    </w:rPr>
  </w:style>
  <w:style w:type="paragraph" w:customStyle="1" w:styleId="362">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63">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64">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65">
    <w:name w:val="论文正文"/>
    <w:basedOn w:val="34"/>
    <w:autoRedefine/>
    <w:qFormat/>
    <w:uiPriority w:val="0"/>
    <w:pPr>
      <w:spacing w:line="360" w:lineRule="auto"/>
      <w:ind w:left="0" w:firstLine="200" w:firstLineChars="200"/>
      <w:jc w:val="left"/>
    </w:pPr>
    <w:rPr>
      <w:sz w:val="28"/>
      <w:szCs w:val="24"/>
    </w:rPr>
  </w:style>
  <w:style w:type="paragraph" w:customStyle="1" w:styleId="366">
    <w:name w:val="列出段落3"/>
    <w:basedOn w:val="1"/>
    <w:autoRedefine/>
    <w:qFormat/>
    <w:uiPriority w:val="0"/>
    <w:pPr>
      <w:ind w:firstLine="420" w:firstLineChars="200"/>
    </w:pPr>
    <w:rPr>
      <w:szCs w:val="24"/>
    </w:rPr>
  </w:style>
  <w:style w:type="paragraph" w:customStyle="1" w:styleId="367">
    <w:name w:val="丁华标题1"/>
    <w:basedOn w:val="2"/>
    <w:next w:val="235"/>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8">
    <w:name w:val="插图"/>
    <w:basedOn w:val="1"/>
    <w:autoRedefine/>
    <w:qFormat/>
    <w:uiPriority w:val="0"/>
    <w:pPr>
      <w:tabs>
        <w:tab w:val="left" w:pos="1620"/>
      </w:tabs>
      <w:adjustRightInd w:val="0"/>
      <w:jc w:val="center"/>
    </w:pPr>
    <w:rPr>
      <w:bCs/>
      <w:color w:val="000000"/>
      <w:szCs w:val="22"/>
    </w:rPr>
  </w:style>
  <w:style w:type="paragraph" w:customStyle="1" w:styleId="369">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1">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72">
    <w:name w:val="标题2，章节第二层"/>
    <w:basedOn w:val="1"/>
    <w:next w:val="254"/>
    <w:autoRedefine/>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3">
    <w:name w:val="样式 标题 3H3sect1.2.3BOD 0Heading 3 - oldh3l3CTLevel 3 Head..."/>
    <w:basedOn w:val="8"/>
    <w:autoRedefine/>
    <w:qFormat/>
    <w:uiPriority w:val="0"/>
    <w:pPr>
      <w:spacing w:beforeLines="50" w:afterLines="50"/>
      <w:jc w:val="left"/>
    </w:pPr>
    <w:rPr>
      <w:rFonts w:cs="宋体"/>
      <w:bCs/>
      <w:sz w:val="30"/>
    </w:rPr>
  </w:style>
  <w:style w:type="paragraph" w:customStyle="1" w:styleId="374">
    <w:name w:val="Char Char Char Char Char Char Char Char Char Char Char1"/>
    <w:basedOn w:val="1"/>
    <w:autoRedefine/>
    <w:qFormat/>
    <w:uiPriority w:val="0"/>
    <w:rPr>
      <w:rFonts w:ascii="Tahoma" w:hAnsi="Tahoma"/>
      <w:sz w:val="24"/>
    </w:rPr>
  </w:style>
  <w:style w:type="paragraph" w:customStyle="1" w:styleId="375">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76">
    <w:name w:val="font14"/>
    <w:basedOn w:val="1"/>
    <w:autoRedefine/>
    <w:qFormat/>
    <w:uiPriority w:val="0"/>
    <w:pPr>
      <w:widowControl/>
      <w:spacing w:before="100" w:beforeAutospacing="1" w:after="100" w:afterAutospacing="1"/>
      <w:jc w:val="left"/>
    </w:pPr>
    <w:rPr>
      <w:kern w:val="0"/>
      <w:sz w:val="36"/>
      <w:szCs w:val="36"/>
    </w:rPr>
  </w:style>
  <w:style w:type="paragraph" w:customStyle="1" w:styleId="377">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78">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79">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1">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2">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83">
    <w:name w:val="Default Text"/>
    <w:basedOn w:val="1"/>
    <w:autoRedefine/>
    <w:qFormat/>
    <w:uiPriority w:val="0"/>
    <w:pPr>
      <w:widowControl/>
      <w:jc w:val="left"/>
    </w:pPr>
    <w:rPr>
      <w:kern w:val="0"/>
      <w:sz w:val="24"/>
      <w:lang w:eastAsia="en-US"/>
    </w:rPr>
  </w:style>
  <w:style w:type="paragraph" w:customStyle="1" w:styleId="38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5">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6">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8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8">
    <w:name w:val="二级条标题"/>
    <w:basedOn w:val="1"/>
    <w:next w:val="248"/>
    <w:autoRedefine/>
    <w:qFormat/>
    <w:uiPriority w:val="0"/>
    <w:pPr>
      <w:widowControl/>
      <w:tabs>
        <w:tab w:val="left" w:pos="2240"/>
      </w:tabs>
      <w:ind w:hanging="420"/>
      <w:outlineLvl w:val="3"/>
    </w:pPr>
    <w:rPr>
      <w:rFonts w:eastAsia="黑体"/>
      <w:kern w:val="0"/>
    </w:rPr>
  </w:style>
  <w:style w:type="paragraph" w:customStyle="1" w:styleId="389">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0">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1">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2">
    <w:name w:val="正文 + 宋体"/>
    <w:basedOn w:val="1"/>
    <w:autoRedefine/>
    <w:qFormat/>
    <w:uiPriority w:val="0"/>
    <w:pPr>
      <w:spacing w:line="360" w:lineRule="auto"/>
      <w:ind w:firstLine="420" w:firstLineChars="200"/>
    </w:pPr>
    <w:rPr>
      <w:szCs w:val="24"/>
    </w:rPr>
  </w:style>
  <w:style w:type="paragraph" w:customStyle="1" w:styleId="393">
    <w:name w:val="Char Char Char Char Char Char Char Char1"/>
    <w:basedOn w:val="1"/>
    <w:autoRedefine/>
    <w:qFormat/>
    <w:uiPriority w:val="0"/>
    <w:rPr>
      <w:rFonts w:ascii="Tahoma" w:hAnsi="Tahoma" w:cs="Tahoma"/>
      <w:sz w:val="24"/>
    </w:rPr>
  </w:style>
  <w:style w:type="paragraph" w:customStyle="1" w:styleId="394">
    <w:name w:val="Char Char Char Char1"/>
    <w:basedOn w:val="21"/>
    <w:autoRedefine/>
    <w:qFormat/>
    <w:uiPriority w:val="0"/>
    <w:pPr>
      <w:adjustRightInd w:val="0"/>
      <w:snapToGrid w:val="0"/>
      <w:spacing w:line="360" w:lineRule="auto"/>
    </w:pPr>
    <w:rPr>
      <w:rFonts w:ascii="Tahoma" w:hAnsi="Tahoma"/>
      <w:sz w:val="24"/>
      <w:szCs w:val="24"/>
    </w:rPr>
  </w:style>
  <w:style w:type="paragraph" w:customStyle="1" w:styleId="395">
    <w:name w:val="正文1"/>
    <w:basedOn w:val="1"/>
    <w:autoRedefine/>
    <w:qFormat/>
    <w:uiPriority w:val="0"/>
    <w:rPr>
      <w:rFonts w:ascii="Calibri" w:hAnsi="Calibri" w:eastAsia="Times New Roman" w:cs="宋体"/>
      <w:kern w:val="0"/>
      <w:lang w:val="zh-CN"/>
    </w:rPr>
  </w:style>
  <w:style w:type="paragraph" w:customStyle="1" w:styleId="396">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39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8">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399">
    <w:name w:val="Normal1"/>
    <w:basedOn w:val="1"/>
    <w:autoRedefine/>
    <w:qFormat/>
    <w:uiPriority w:val="0"/>
    <w:rPr>
      <w:rFonts w:ascii="Calibri" w:hAnsi="Calibri" w:eastAsia="Times New Roman" w:cs="宋体"/>
      <w:kern w:val="0"/>
      <w:lang w:val="zh-CN"/>
    </w:rPr>
  </w:style>
  <w:style w:type="paragraph" w:customStyle="1" w:styleId="400">
    <w:name w:val="纯文本1"/>
    <w:basedOn w:val="1"/>
    <w:autoRedefine/>
    <w:qFormat/>
    <w:uiPriority w:val="0"/>
    <w:pPr>
      <w:adjustRightInd w:val="0"/>
      <w:textAlignment w:val="baseline"/>
    </w:pPr>
    <w:rPr>
      <w:rFonts w:ascii="宋体" w:hAnsi="宋体" w:eastAsia="楷体_GB2312" w:cs="宋体"/>
      <w:sz w:val="28"/>
    </w:rPr>
  </w:style>
  <w:style w:type="paragraph" w:customStyle="1" w:styleId="401">
    <w:name w:val="正文lzq"/>
    <w:basedOn w:val="1"/>
    <w:autoRedefine/>
    <w:qFormat/>
    <w:uiPriority w:val="0"/>
    <w:pPr>
      <w:adjustRightInd w:val="0"/>
      <w:spacing w:line="360" w:lineRule="auto"/>
      <w:ind w:firstLine="480"/>
      <w:textAlignment w:val="baseline"/>
    </w:pPr>
    <w:rPr>
      <w:kern w:val="0"/>
      <w:sz w:val="24"/>
    </w:rPr>
  </w:style>
  <w:style w:type="paragraph" w:customStyle="1" w:styleId="402">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03">
    <w:name w:val="Char Char Char Char Char Char Char Char Char Char Char Char Char Char Char Char Char Char Char Char Char"/>
    <w:basedOn w:val="1"/>
    <w:autoRedefine/>
    <w:qFormat/>
    <w:uiPriority w:val="0"/>
    <w:rPr>
      <w:rFonts w:ascii="Tahoma" w:hAnsi="Tahoma"/>
      <w:sz w:val="24"/>
    </w:rPr>
  </w:style>
  <w:style w:type="paragraph" w:customStyle="1" w:styleId="404">
    <w:name w:val="Char Char Char"/>
    <w:basedOn w:val="1"/>
    <w:autoRedefine/>
    <w:qFormat/>
    <w:uiPriority w:val="0"/>
    <w:rPr>
      <w:rFonts w:ascii="Tahoma" w:hAnsi="Tahoma"/>
      <w:sz w:val="24"/>
    </w:rPr>
  </w:style>
  <w:style w:type="paragraph" w:customStyle="1" w:styleId="405">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6">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07">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08">
    <w:name w:val="公文标题 2"/>
    <w:basedOn w:val="1"/>
    <w:next w:val="338"/>
    <w:autoRedefine/>
    <w:qFormat/>
    <w:uiPriority w:val="0"/>
    <w:pPr>
      <w:outlineLvl w:val="1"/>
    </w:pPr>
    <w:rPr>
      <w:rFonts w:ascii="仿宋_GB2312" w:hAnsi="宋体" w:eastAsia="仿宋_GB2312"/>
      <w:kern w:val="28"/>
      <w:sz w:val="28"/>
      <w:szCs w:val="24"/>
    </w:rPr>
  </w:style>
  <w:style w:type="paragraph" w:customStyle="1" w:styleId="409">
    <w:name w:val="文档正文"/>
    <w:basedOn w:val="1"/>
    <w:autoRedefine/>
    <w:qFormat/>
    <w:uiPriority w:val="0"/>
    <w:pPr>
      <w:spacing w:line="360" w:lineRule="auto"/>
    </w:pPr>
    <w:rPr>
      <w:rFonts w:ascii="宋体" w:hAnsi="宋体"/>
      <w:b/>
      <w:bCs/>
      <w:szCs w:val="24"/>
    </w:rPr>
  </w:style>
  <w:style w:type="paragraph" w:customStyle="1" w:styleId="410">
    <w:name w:val="Char Char Char Char Char Char Char Char Char Char Char"/>
    <w:basedOn w:val="1"/>
    <w:autoRedefine/>
    <w:qFormat/>
    <w:uiPriority w:val="0"/>
    <w:rPr>
      <w:rFonts w:ascii="Tahoma" w:hAnsi="Tahoma" w:cs="Tahoma"/>
      <w:sz w:val="24"/>
    </w:rPr>
  </w:style>
  <w:style w:type="paragraph" w:customStyle="1" w:styleId="411">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2">
    <w:name w:val="标题6"/>
    <w:basedOn w:val="10"/>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3">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14">
    <w:name w:val="批注文字 Char1"/>
    <w:basedOn w:val="62"/>
    <w:autoRedefine/>
    <w:semiHidden/>
    <w:qFormat/>
    <w:uiPriority w:val="99"/>
    <w:rPr>
      <w:rFonts w:ascii="Times New Roman" w:hAnsi="Times New Roman" w:eastAsia="宋体" w:cs="Times New Roman"/>
      <w:szCs w:val="24"/>
    </w:rPr>
  </w:style>
  <w:style w:type="paragraph" w:styleId="415">
    <w:name w:val="List Paragraph"/>
    <w:basedOn w:val="1"/>
    <w:autoRedefine/>
    <w:qFormat/>
    <w:uiPriority w:val="99"/>
    <w:pPr>
      <w:ind w:firstLine="420" w:firstLineChars="200"/>
    </w:pPr>
    <w:rPr>
      <w:szCs w:val="24"/>
    </w:rPr>
  </w:style>
  <w:style w:type="paragraph" w:customStyle="1" w:styleId="416">
    <w:name w:val="D&amp;L"/>
    <w:basedOn w:val="3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7">
    <w:name w:val="网格型1"/>
    <w:basedOn w:val="6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8">
    <w:name w:val="Char Char Char Char Char Char Char1 Char"/>
    <w:basedOn w:val="1"/>
    <w:autoRedefine/>
    <w:qFormat/>
    <w:uiPriority w:val="0"/>
    <w:rPr>
      <w:rFonts w:ascii="Arial" w:hAnsi="Arial" w:cs="Arial"/>
      <w:sz w:val="24"/>
    </w:rPr>
  </w:style>
  <w:style w:type="paragraph" w:customStyle="1" w:styleId="419">
    <w:name w:val="Table Text"/>
    <w:basedOn w:val="1"/>
    <w:autoRedefine/>
    <w:semiHidden/>
    <w:qFormat/>
    <w:uiPriority w:val="0"/>
    <w:rPr>
      <w:rFonts w:ascii="宋体" w:hAnsi="宋体" w:cs="宋体"/>
    </w:rPr>
  </w:style>
  <w:style w:type="table" w:customStyle="1" w:styleId="42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5025</Words>
  <Characters>28646</Characters>
  <Lines>238</Lines>
  <Paragraphs>67</Paragraphs>
  <TotalTime>7</TotalTime>
  <ScaleCrop>false</ScaleCrop>
  <LinksUpToDate>false</LinksUpToDate>
  <CharactersWithSpaces>33604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2018-11-26T19:11:00Z</dcterms:created>
  <dc:creator>11825</dc:creator>
  <cp:lastModifiedBy>kiss me</cp:lastModifiedBy>
  <cp:lastPrinted>2024-03-25T07:24:00Z</cp:lastPrinted>
  <dcterms:modified xsi:type="dcterms:W3CDTF">2024-04-18T08:16:16Z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6C6070F8D24F4169844D9DD14C6BC1D5_13</vt:lpwstr>
  </property>
</Properties>
</file>